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4CF9" w14:textId="77777777" w:rsidR="00A47924" w:rsidRPr="00A47924" w:rsidRDefault="00A47924" w:rsidP="008E1364">
      <w:pPr>
        <w:pStyle w:val="Heading1"/>
        <w:pBdr>
          <w:bottom w:val="single" w:sz="4" w:space="2" w:color="A00054"/>
        </w:pBdr>
        <w:spacing w:before="0"/>
        <w:rPr>
          <w:sz w:val="20"/>
          <w:szCs w:val="20"/>
        </w:rPr>
      </w:pPr>
    </w:p>
    <w:p w14:paraId="46FCE10C" w14:textId="77777777" w:rsidR="008E1364" w:rsidRDefault="008E1364" w:rsidP="008E1364">
      <w:pPr>
        <w:pStyle w:val="Heading1"/>
        <w:pBdr>
          <w:bottom w:val="single" w:sz="4" w:space="2" w:color="A00054"/>
        </w:pBdr>
        <w:spacing w:before="0"/>
      </w:pPr>
      <w:r>
        <w:t>Job Description</w:t>
      </w:r>
    </w:p>
    <w:p w14:paraId="6E52551C" w14:textId="77777777" w:rsidR="008E1364" w:rsidRDefault="00A47924" w:rsidP="008E1364">
      <w:pPr>
        <w:pStyle w:val="Heading1"/>
        <w:pBdr>
          <w:bottom w:val="single" w:sz="4" w:space="2" w:color="A00054"/>
        </w:pBdr>
        <w:spacing w:before="0"/>
      </w:pPr>
      <w:r>
        <w:t xml:space="preserve">NIHR Academic Clinical Fellowship </w:t>
      </w:r>
    </w:p>
    <w:p w14:paraId="694F05CD" w14:textId="64919747" w:rsidR="001D22EB" w:rsidRDefault="00642A58" w:rsidP="008E1364">
      <w:pPr>
        <w:pStyle w:val="Heading1"/>
        <w:pBdr>
          <w:bottom w:val="single" w:sz="4" w:space="2" w:color="A00054"/>
        </w:pBdr>
        <w:spacing w:before="0"/>
      </w:pPr>
      <w:r>
        <w:t>Trauma and Orthopaedic Surgery</w:t>
      </w:r>
      <w:r w:rsidR="00961679" w:rsidRPr="00252C23">
        <w:t xml:space="preserve"> </w:t>
      </w:r>
      <w:r w:rsidR="001D22EB">
        <w:t xml:space="preserve">ST1 </w:t>
      </w:r>
      <w:r w:rsidR="009A36C2">
        <w:t xml:space="preserve">entry </w:t>
      </w:r>
    </w:p>
    <w:p w14:paraId="67980583" w14:textId="5F28B19B" w:rsidR="00336B8B" w:rsidRPr="00336B8B" w:rsidRDefault="00336B8B" w:rsidP="008E1364">
      <w:pPr>
        <w:pStyle w:val="Heading1"/>
        <w:pBdr>
          <w:bottom w:val="single" w:sz="4" w:space="2" w:color="A00054"/>
        </w:pBdr>
        <w:spacing w:before="0"/>
      </w:pPr>
      <w:r w:rsidRPr="009A36C2">
        <w:rPr>
          <w:sz w:val="28"/>
        </w:rPr>
        <w:t>(</w:t>
      </w:r>
      <w:r w:rsidR="000130CE">
        <w:rPr>
          <w:sz w:val="28"/>
        </w:rPr>
        <w:t>1</w:t>
      </w:r>
      <w:r w:rsidR="0093309D">
        <w:rPr>
          <w:sz w:val="28"/>
        </w:rPr>
        <w:t xml:space="preserve"> post</w:t>
      </w:r>
      <w:r w:rsidRPr="009A36C2">
        <w:rPr>
          <w:sz w:val="28"/>
        </w:rPr>
        <w:t>)</w:t>
      </w:r>
    </w:p>
    <w:p w14:paraId="0E9D00E1" w14:textId="02643B3F" w:rsidR="00A83988" w:rsidRDefault="00A83988" w:rsidP="00387011">
      <w:pPr>
        <w:pStyle w:val="NoSpacing"/>
        <w:rPr>
          <w:lang w:eastAsia="en-GB"/>
        </w:rPr>
      </w:pPr>
      <w:r w:rsidRPr="00A83988">
        <w:rPr>
          <w:lang w:eastAsia="en-GB"/>
        </w:rPr>
        <w:t xml:space="preserve">Hull York Medical School, in partnership with Health Education England Yorkshire and </w:t>
      </w:r>
      <w:r w:rsidR="00C65FA4">
        <w:rPr>
          <w:lang w:eastAsia="en-GB"/>
        </w:rPr>
        <w:t xml:space="preserve">partner </w:t>
      </w:r>
      <w:r w:rsidRPr="00A83988">
        <w:rPr>
          <w:lang w:eastAsia="en-GB"/>
        </w:rPr>
        <w:t>NHS Trust</w:t>
      </w:r>
      <w:r w:rsidR="00C65FA4">
        <w:rPr>
          <w:lang w:eastAsia="en-GB"/>
        </w:rPr>
        <w:t>s</w:t>
      </w:r>
      <w:r w:rsidRPr="00A83988">
        <w:rPr>
          <w:lang w:eastAsia="en-GB"/>
        </w:rPr>
        <w:t>, has developed an exciting pathway of academic clinical training opportunities.</w:t>
      </w:r>
    </w:p>
    <w:p w14:paraId="4089351E" w14:textId="77777777" w:rsidR="00A83988" w:rsidRDefault="00A83988" w:rsidP="00387011">
      <w:pPr>
        <w:pStyle w:val="NoSpacing"/>
        <w:rPr>
          <w:rFonts w:asciiTheme="minorBidi" w:hAnsiTheme="minorBidi"/>
          <w:lang w:eastAsia="en-GB"/>
        </w:rPr>
      </w:pPr>
    </w:p>
    <w:p w14:paraId="1E82B63B" w14:textId="492727B5" w:rsidR="00A83988" w:rsidRPr="00A83988" w:rsidRDefault="00CD7DF9" w:rsidP="00387011">
      <w:pPr>
        <w:pStyle w:val="NoSpacing"/>
        <w:rPr>
          <w:lang w:eastAsia="en-GB"/>
        </w:rPr>
      </w:pPr>
      <w:r w:rsidRPr="00A83988">
        <w:rPr>
          <w:rFonts w:asciiTheme="minorBidi" w:hAnsiTheme="minorBidi"/>
          <w:lang w:eastAsia="en-GB"/>
        </w:rPr>
        <w:t xml:space="preserve">Applications are now invited for an </w:t>
      </w:r>
      <w:r w:rsidR="00810700">
        <w:rPr>
          <w:rFonts w:asciiTheme="minorBidi" w:hAnsiTheme="minorBidi"/>
          <w:lang w:eastAsia="en-GB"/>
        </w:rPr>
        <w:t xml:space="preserve">NIHR </w:t>
      </w:r>
      <w:r w:rsidRPr="00A83988">
        <w:rPr>
          <w:rFonts w:asciiTheme="minorBidi" w:hAnsiTheme="minorBidi"/>
          <w:lang w:eastAsia="en-GB"/>
        </w:rPr>
        <w:t>Academic Clinical Fellowship in</w:t>
      </w:r>
      <w:r w:rsidRPr="00A83988">
        <w:rPr>
          <w:rFonts w:asciiTheme="minorBidi" w:hAnsiTheme="minorBidi"/>
          <w:color w:val="FF0000"/>
          <w:lang w:eastAsia="en-GB"/>
        </w:rPr>
        <w:t xml:space="preserve"> </w:t>
      </w:r>
      <w:r w:rsidR="000130CE">
        <w:rPr>
          <w:rFonts w:asciiTheme="minorBidi" w:hAnsiTheme="minorBidi"/>
          <w:b/>
          <w:bCs/>
        </w:rPr>
        <w:t>Orthopaedics</w:t>
      </w:r>
      <w:r w:rsidRPr="00A83988">
        <w:rPr>
          <w:rFonts w:asciiTheme="minorBidi" w:hAnsiTheme="minorBidi"/>
          <w:b/>
          <w:bCs/>
        </w:rPr>
        <w:t xml:space="preserve"> </w:t>
      </w:r>
      <w:r w:rsidRPr="00A83988">
        <w:rPr>
          <w:rFonts w:asciiTheme="minorBidi" w:hAnsiTheme="minorBidi"/>
          <w:lang w:eastAsia="en-GB"/>
        </w:rPr>
        <w:t xml:space="preserve">at </w:t>
      </w:r>
      <w:r w:rsidRPr="00A83988">
        <w:rPr>
          <w:rFonts w:asciiTheme="minorBidi" w:hAnsiTheme="minorBidi"/>
          <w:b/>
          <w:bCs/>
        </w:rPr>
        <w:t>S</w:t>
      </w:r>
      <w:r w:rsidR="001D22EB">
        <w:rPr>
          <w:rFonts w:asciiTheme="minorBidi" w:hAnsiTheme="minorBidi"/>
          <w:b/>
          <w:bCs/>
        </w:rPr>
        <w:t>T1</w:t>
      </w:r>
      <w:r w:rsidR="00284185">
        <w:rPr>
          <w:rFonts w:asciiTheme="minorBidi" w:hAnsiTheme="minorBidi"/>
          <w:b/>
          <w:bCs/>
        </w:rPr>
        <w:t xml:space="preserve"> </w:t>
      </w:r>
      <w:r w:rsidRPr="00A83988">
        <w:rPr>
          <w:rFonts w:asciiTheme="minorBidi" w:hAnsiTheme="minorBidi"/>
          <w:lang w:eastAsia="en-GB"/>
        </w:rPr>
        <w:t>level. Th</w:t>
      </w:r>
      <w:r w:rsidR="000130CE">
        <w:rPr>
          <w:rFonts w:asciiTheme="minorBidi" w:hAnsiTheme="minorBidi"/>
          <w:lang w:eastAsia="en-GB"/>
        </w:rPr>
        <w:t>is</w:t>
      </w:r>
      <w:r w:rsidRPr="00A83988">
        <w:rPr>
          <w:rFonts w:asciiTheme="minorBidi" w:hAnsiTheme="minorBidi"/>
          <w:lang w:eastAsia="en-GB"/>
        </w:rPr>
        <w:t xml:space="preserve"> post </w:t>
      </w:r>
      <w:r w:rsidR="00302A5E">
        <w:rPr>
          <w:rFonts w:asciiTheme="minorBidi" w:hAnsiTheme="minorBidi"/>
          <w:lang w:eastAsia="en-GB"/>
        </w:rPr>
        <w:t xml:space="preserve">is in the NIHR theme of Acute </w:t>
      </w:r>
      <w:r w:rsidR="00284185">
        <w:rPr>
          <w:rFonts w:asciiTheme="minorBidi" w:hAnsiTheme="minorBidi"/>
          <w:lang w:eastAsia="en-GB"/>
        </w:rPr>
        <w:t>Care and</w:t>
      </w:r>
      <w:r w:rsidR="00302A5E">
        <w:rPr>
          <w:rFonts w:asciiTheme="minorBidi" w:hAnsiTheme="minorBidi"/>
          <w:lang w:eastAsia="en-GB"/>
        </w:rPr>
        <w:t xml:space="preserve"> </w:t>
      </w:r>
      <w:r w:rsidRPr="00A83988">
        <w:rPr>
          <w:rFonts w:asciiTheme="minorBidi" w:hAnsiTheme="minorBidi"/>
          <w:lang w:eastAsia="en-GB"/>
        </w:rPr>
        <w:t>offer</w:t>
      </w:r>
      <w:r w:rsidR="00302A5E">
        <w:rPr>
          <w:rFonts w:asciiTheme="minorBidi" w:hAnsiTheme="minorBidi"/>
          <w:lang w:eastAsia="en-GB"/>
        </w:rPr>
        <w:t>s</w:t>
      </w:r>
      <w:r w:rsidRPr="00A83988">
        <w:rPr>
          <w:rFonts w:asciiTheme="minorBidi" w:hAnsiTheme="minorBidi"/>
          <w:lang w:eastAsia="en-GB"/>
        </w:rPr>
        <w:t xml:space="preserve"> candidates a comprehensive experience of clinical academic medicine working alongside internationally renowned clinicians and researchers.</w:t>
      </w:r>
    </w:p>
    <w:p w14:paraId="0872A18A" w14:textId="77777777" w:rsidR="00A83988" w:rsidRDefault="00A83988" w:rsidP="00387011">
      <w:pPr>
        <w:autoSpaceDE w:val="0"/>
        <w:autoSpaceDN w:val="0"/>
        <w:adjustRightInd w:val="0"/>
        <w:rPr>
          <w:rFonts w:asciiTheme="minorBidi" w:hAnsiTheme="minorBidi"/>
        </w:rPr>
      </w:pPr>
    </w:p>
    <w:p w14:paraId="3BA4BD37" w14:textId="7DC6260F" w:rsidR="00CD7DF9" w:rsidRDefault="00CD7DF9" w:rsidP="00387011">
      <w:pPr>
        <w:autoSpaceDE w:val="0"/>
        <w:autoSpaceDN w:val="0"/>
        <w:adjustRightInd w:val="0"/>
        <w:rPr>
          <w:rFonts w:asciiTheme="minorBidi" w:hAnsiTheme="minorBidi"/>
        </w:rPr>
      </w:pPr>
      <w:r w:rsidRPr="00A83988">
        <w:rPr>
          <w:rFonts w:asciiTheme="minorBidi" w:hAnsiTheme="minorBidi"/>
        </w:rPr>
        <w:t xml:space="preserve">We are seeking </w:t>
      </w:r>
      <w:r w:rsidR="000130CE">
        <w:rPr>
          <w:rFonts w:asciiTheme="minorBidi" w:hAnsiTheme="minorBidi"/>
        </w:rPr>
        <w:t xml:space="preserve">a </w:t>
      </w:r>
      <w:r w:rsidRPr="00A83988">
        <w:rPr>
          <w:rFonts w:asciiTheme="minorBidi" w:hAnsiTheme="minorBidi"/>
        </w:rPr>
        <w:t>highly motivated, enthusiastic individual with the potential to excel in both their clinical and academic training and who ha</w:t>
      </w:r>
      <w:r w:rsidR="000130CE">
        <w:rPr>
          <w:rFonts w:asciiTheme="minorBidi" w:hAnsiTheme="minorBidi"/>
        </w:rPr>
        <w:t>s</w:t>
      </w:r>
      <w:r w:rsidRPr="00A83988">
        <w:rPr>
          <w:rFonts w:asciiTheme="minorBidi" w:hAnsiTheme="minorBidi"/>
        </w:rPr>
        <w:t xml:space="preserve"> the ambition to be </w:t>
      </w:r>
      <w:r w:rsidR="000130CE">
        <w:rPr>
          <w:rFonts w:asciiTheme="minorBidi" w:hAnsiTheme="minorBidi"/>
        </w:rPr>
        <w:t xml:space="preserve">among </w:t>
      </w:r>
      <w:r w:rsidRPr="00A83988">
        <w:rPr>
          <w:rFonts w:asciiTheme="minorBidi" w:hAnsiTheme="minorBidi"/>
        </w:rPr>
        <w:t>the next generation of academic clinicians.</w:t>
      </w:r>
    </w:p>
    <w:p w14:paraId="36068B69" w14:textId="77777777" w:rsidR="00387011" w:rsidRPr="00A83988" w:rsidRDefault="00387011" w:rsidP="00387011">
      <w:pPr>
        <w:autoSpaceDE w:val="0"/>
        <w:autoSpaceDN w:val="0"/>
        <w:adjustRightInd w:val="0"/>
        <w:rPr>
          <w:rFonts w:asciiTheme="minorBidi" w:hAnsiTheme="minorBidi"/>
        </w:rPr>
      </w:pPr>
    </w:p>
    <w:p w14:paraId="091895DD" w14:textId="44E6728D" w:rsidR="00CD7DF9" w:rsidRDefault="00CD7DF9" w:rsidP="00387011">
      <w:pPr>
        <w:rPr>
          <w:rFonts w:asciiTheme="minorBidi" w:hAnsiTheme="minorBidi"/>
          <w:noProof/>
        </w:rPr>
      </w:pPr>
      <w:r w:rsidRPr="00A83988">
        <w:rPr>
          <w:rFonts w:asciiTheme="minorBidi" w:hAnsiTheme="minorBidi"/>
          <w:noProof/>
        </w:rPr>
        <w:t xml:space="preserve">This Academic Clinical Fellowship (ACF) programme in </w:t>
      </w:r>
      <w:r w:rsidR="000130CE">
        <w:rPr>
          <w:rFonts w:asciiTheme="minorBidi" w:hAnsiTheme="minorBidi"/>
          <w:noProof/>
        </w:rPr>
        <w:t>Orthopaedics</w:t>
      </w:r>
      <w:r w:rsidRPr="00A83988">
        <w:rPr>
          <w:rFonts w:asciiTheme="minorBidi" w:hAnsiTheme="minorBidi"/>
          <w:noProof/>
        </w:rPr>
        <w:t xml:space="preserve"> will be run by Hull York Medical School (HYMS) in conjunction with </w:t>
      </w:r>
      <w:r w:rsidR="000130CE" w:rsidRPr="000130CE">
        <w:rPr>
          <w:rFonts w:asciiTheme="minorBidi" w:hAnsiTheme="minorBidi"/>
          <w:noProof/>
        </w:rPr>
        <w:t>Health Education England Yorkshire and the Humber Trauma &amp; Orthopaedic Surgery Specialty Training programme</w:t>
      </w:r>
      <w:r w:rsidR="00026A76">
        <w:rPr>
          <w:rFonts w:asciiTheme="minorBidi" w:hAnsiTheme="minorBidi"/>
          <w:noProof/>
        </w:rPr>
        <w:t>.</w:t>
      </w:r>
    </w:p>
    <w:p w14:paraId="27B6F63F" w14:textId="77777777" w:rsidR="00387011" w:rsidRPr="00A83988" w:rsidRDefault="00387011" w:rsidP="00387011">
      <w:pPr>
        <w:rPr>
          <w:rFonts w:asciiTheme="minorBidi" w:hAnsiTheme="minorBidi"/>
        </w:rPr>
      </w:pPr>
    </w:p>
    <w:p w14:paraId="0F39EDD2" w14:textId="0AD75908" w:rsidR="00CD7DF9" w:rsidRPr="00A83988" w:rsidRDefault="00CD7DF9" w:rsidP="00387011">
      <w:pPr>
        <w:tabs>
          <w:tab w:val="left" w:pos="12015"/>
        </w:tabs>
        <w:rPr>
          <w:rFonts w:asciiTheme="minorBidi" w:hAnsiTheme="minorBidi"/>
        </w:rPr>
      </w:pPr>
      <w:r w:rsidRPr="00A83988">
        <w:rPr>
          <w:rFonts w:asciiTheme="minorBidi" w:hAnsiTheme="minorBidi"/>
        </w:rPr>
        <w:t>Academic Clinical Fellowships (ACFs) are 3 year fixed-t</w:t>
      </w:r>
      <w:r w:rsidR="008F15AE">
        <w:rPr>
          <w:rFonts w:asciiTheme="minorBidi" w:hAnsiTheme="minorBidi"/>
        </w:rPr>
        <w:t>erm national training posts.  Trainees</w:t>
      </w:r>
      <w:r w:rsidRPr="00A83988">
        <w:rPr>
          <w:rFonts w:asciiTheme="minorBidi" w:hAnsiTheme="minorBidi"/>
        </w:rPr>
        <w:t xml:space="preserve"> undertake 75% clinical and 25% academic training over the term of the post. They are employed by the NHS Trust and have an honorary contract with the University at whose Medical School their academic research is supported.</w:t>
      </w:r>
    </w:p>
    <w:p w14:paraId="3C653D0C" w14:textId="77777777" w:rsidR="00CD7DF9" w:rsidRPr="00A83988" w:rsidRDefault="00CD7DF9" w:rsidP="00387011">
      <w:pPr>
        <w:tabs>
          <w:tab w:val="left" w:pos="12015"/>
        </w:tabs>
        <w:rPr>
          <w:rFonts w:asciiTheme="minorBidi" w:hAnsiTheme="minorBidi"/>
        </w:rPr>
      </w:pPr>
    </w:p>
    <w:p w14:paraId="12E3D233" w14:textId="1BF7E44A" w:rsidR="00CD7DF9" w:rsidRPr="00A83988" w:rsidRDefault="00CD7DF9" w:rsidP="00387011">
      <w:pPr>
        <w:tabs>
          <w:tab w:val="left" w:pos="12015"/>
        </w:tabs>
        <w:rPr>
          <w:rFonts w:asciiTheme="minorBidi" w:hAnsiTheme="minorBidi"/>
        </w:rPr>
      </w:pPr>
      <w:r w:rsidRPr="00A83988">
        <w:rPr>
          <w:rFonts w:asciiTheme="minorBidi" w:hAnsiTheme="minorBidi"/>
        </w:rPr>
        <w:t>ACF trainees also undertake a Research Training Programme provided by the University.  They are eligible for a</w:t>
      </w:r>
      <w:r w:rsidR="00C65FA4">
        <w:rPr>
          <w:rFonts w:asciiTheme="minorBidi" w:hAnsiTheme="minorBidi"/>
        </w:rPr>
        <w:t xml:space="preserve"> training bursary of up to</w:t>
      </w:r>
      <w:r w:rsidRPr="00A83988">
        <w:rPr>
          <w:rFonts w:asciiTheme="minorBidi" w:hAnsiTheme="minorBidi"/>
        </w:rPr>
        <w:t xml:space="preserve"> £1,000 per year to support research training activity (</w:t>
      </w:r>
      <w:proofErr w:type="gramStart"/>
      <w:r w:rsidRPr="00A83988">
        <w:rPr>
          <w:rFonts w:asciiTheme="minorBidi" w:hAnsiTheme="minorBidi"/>
        </w:rPr>
        <w:t>e.g</w:t>
      </w:r>
      <w:r w:rsidR="00A83988">
        <w:rPr>
          <w:rFonts w:asciiTheme="minorBidi" w:hAnsiTheme="minorBidi"/>
        </w:rPr>
        <w:t>.</w:t>
      </w:r>
      <w:proofErr w:type="gramEnd"/>
      <w:r w:rsidRPr="00A83988">
        <w:rPr>
          <w:rFonts w:asciiTheme="minorBidi" w:hAnsiTheme="minorBidi"/>
        </w:rPr>
        <w:t xml:space="preserve"> to </w:t>
      </w:r>
      <w:r w:rsidR="000130CE">
        <w:rPr>
          <w:rFonts w:asciiTheme="minorBidi" w:hAnsiTheme="minorBidi"/>
        </w:rPr>
        <w:t>undertake</w:t>
      </w:r>
      <w:r w:rsidR="00284185">
        <w:rPr>
          <w:rFonts w:asciiTheme="minorBidi" w:hAnsiTheme="minorBidi"/>
        </w:rPr>
        <w:t xml:space="preserve"> research</w:t>
      </w:r>
      <w:r w:rsidR="000130CE">
        <w:rPr>
          <w:rFonts w:asciiTheme="minorBidi" w:hAnsiTheme="minorBidi"/>
        </w:rPr>
        <w:t xml:space="preserve"> training and </w:t>
      </w:r>
      <w:r w:rsidRPr="00A83988">
        <w:rPr>
          <w:rFonts w:asciiTheme="minorBidi" w:hAnsiTheme="minorBidi"/>
        </w:rPr>
        <w:t>attend academic conferences).</w:t>
      </w:r>
    </w:p>
    <w:p w14:paraId="4903A407" w14:textId="77777777" w:rsidR="00CD7DF9" w:rsidRPr="00A83988" w:rsidRDefault="00CD7DF9" w:rsidP="00387011">
      <w:pPr>
        <w:tabs>
          <w:tab w:val="left" w:pos="12015"/>
        </w:tabs>
        <w:rPr>
          <w:rFonts w:asciiTheme="minorBidi" w:hAnsiTheme="minorBidi"/>
        </w:rPr>
      </w:pPr>
    </w:p>
    <w:p w14:paraId="2BB86E8B" w14:textId="48C1DDE1" w:rsidR="00CD7DF9" w:rsidRDefault="00CD7DF9" w:rsidP="00387011">
      <w:pPr>
        <w:tabs>
          <w:tab w:val="left" w:pos="12015"/>
        </w:tabs>
        <w:rPr>
          <w:rFonts w:asciiTheme="minorBidi" w:hAnsiTheme="minorBidi"/>
        </w:rPr>
      </w:pPr>
      <w:r w:rsidRPr="00A83988">
        <w:rPr>
          <w:rFonts w:asciiTheme="minorBidi" w:hAnsiTheme="minorBidi"/>
        </w:rPr>
        <w:t>ACF trainees would also normally complete and submit an external funding application for a research fellowship to enable them to complete a higher degree (PhD or research MD)</w:t>
      </w:r>
      <w:r w:rsidR="00284185">
        <w:rPr>
          <w:rFonts w:asciiTheme="minorBidi" w:hAnsiTheme="minorBidi"/>
        </w:rPr>
        <w:t xml:space="preserve">, </w:t>
      </w:r>
      <w:r w:rsidR="00284185" w:rsidRPr="00A83988">
        <w:rPr>
          <w:rFonts w:asciiTheme="minorBidi" w:hAnsiTheme="minorBidi"/>
        </w:rPr>
        <w:t>which would be completed as Out-of-Programme-Research (OOPR)</w:t>
      </w:r>
      <w:r w:rsidR="00284185">
        <w:rPr>
          <w:rFonts w:asciiTheme="minorBidi" w:hAnsiTheme="minorBidi"/>
        </w:rPr>
        <w:t xml:space="preserve"> </w:t>
      </w:r>
      <w:r w:rsidRPr="00A83988">
        <w:rPr>
          <w:rFonts w:asciiTheme="minorBidi" w:hAnsiTheme="minorBidi"/>
        </w:rPr>
        <w:t>following the completion of their ACF fixed-term post,</w:t>
      </w:r>
    </w:p>
    <w:p w14:paraId="32037527" w14:textId="77777777" w:rsidR="00387011" w:rsidRPr="00A83988" w:rsidRDefault="00387011" w:rsidP="00387011">
      <w:pPr>
        <w:tabs>
          <w:tab w:val="left" w:pos="12015"/>
        </w:tabs>
        <w:rPr>
          <w:rFonts w:asciiTheme="minorBidi" w:hAnsiTheme="minorBidi"/>
        </w:rPr>
      </w:pPr>
    </w:p>
    <w:p w14:paraId="589ACC2B" w14:textId="77777777" w:rsidR="00A83988" w:rsidRDefault="00A83988" w:rsidP="00387011">
      <w:pPr>
        <w:pStyle w:val="NoSpacing"/>
      </w:pPr>
      <w:r w:rsidRPr="00A71F7E">
        <w:t>All Academic Clinical Fellowships are run-through posts, regardless of specialty</w:t>
      </w:r>
      <w:r>
        <w:t xml:space="preserve">, </w:t>
      </w:r>
      <w:proofErr w:type="gramStart"/>
      <w:r>
        <w:t>with the exception of</w:t>
      </w:r>
      <w:proofErr w:type="gramEnd"/>
      <w:r>
        <w:t xml:space="preserve"> ‘Medical Education’ ACFs</w:t>
      </w:r>
      <w:r w:rsidRPr="00A71F7E">
        <w:t>.  A trainee entering ACF at ST1</w:t>
      </w:r>
      <w:r>
        <w:t xml:space="preserve"> or ST2</w:t>
      </w:r>
      <w:r w:rsidRPr="00A71F7E">
        <w:t xml:space="preserve"> 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3283EE84" w14:textId="77777777" w:rsidR="00336B8B" w:rsidRPr="007A3D31" w:rsidRDefault="00336B8B" w:rsidP="00336B8B">
      <w:pPr>
        <w:pStyle w:val="Heading1"/>
      </w:pPr>
      <w:r w:rsidRPr="007A3D31">
        <w:lastRenderedPageBreak/>
        <w:t>POST DETAILS</w:t>
      </w:r>
    </w:p>
    <w:p w14:paraId="0A62036A" w14:textId="77777777" w:rsidR="00336B8B" w:rsidRPr="007A3D31" w:rsidRDefault="00336B8B" w:rsidP="00336B8B">
      <w:pPr>
        <w:pStyle w:val="NoSpacing"/>
      </w:pPr>
    </w:p>
    <w:p w14:paraId="6D29BB98" w14:textId="77777777" w:rsidR="00336B8B" w:rsidRDefault="00336B8B" w:rsidP="00336B8B">
      <w:pPr>
        <w:pStyle w:val="Heading2"/>
      </w:pPr>
      <w:r>
        <w:t>Job Title</w:t>
      </w:r>
    </w:p>
    <w:p w14:paraId="750E97FF" w14:textId="387D0D31" w:rsidR="00336B8B" w:rsidRPr="00264BBF" w:rsidRDefault="00336B8B" w:rsidP="00CD7DF9">
      <w:pPr>
        <w:pStyle w:val="NoSpacing"/>
      </w:pPr>
      <w:r w:rsidRPr="00264BBF">
        <w:t xml:space="preserve">NIHR Academic Clinical Fellow (ACF) – </w:t>
      </w:r>
      <w:r w:rsidR="00642A58">
        <w:t>Trauma and Orthopaedic Surgery</w:t>
      </w:r>
    </w:p>
    <w:p w14:paraId="6DFA7401" w14:textId="77777777" w:rsidR="00336B8B" w:rsidRPr="007A3D31" w:rsidRDefault="00336B8B" w:rsidP="00336B8B">
      <w:pPr>
        <w:rPr>
          <w:szCs w:val="22"/>
          <w:u w:val="single"/>
        </w:rPr>
      </w:pPr>
    </w:p>
    <w:p w14:paraId="3C414326" w14:textId="77777777" w:rsidR="00336B8B" w:rsidRPr="007A3D31" w:rsidRDefault="00336B8B" w:rsidP="00336B8B">
      <w:pPr>
        <w:pStyle w:val="Heading2"/>
      </w:pPr>
      <w:r w:rsidRPr="007A3D31">
        <w:t>Duration of the Post</w:t>
      </w:r>
    </w:p>
    <w:p w14:paraId="2EB9DB27" w14:textId="0779563F" w:rsidR="00336B8B" w:rsidRPr="00C65FA4" w:rsidRDefault="00336B8B" w:rsidP="00C65FA4">
      <w:pPr>
        <w:pStyle w:val="NoSpacing"/>
      </w:pPr>
      <w:r w:rsidRPr="00C65FA4">
        <w:t xml:space="preserve">Up to 3 years (25% academic, 75% clinical). </w:t>
      </w:r>
    </w:p>
    <w:p w14:paraId="54EE6E94" w14:textId="77777777" w:rsidR="00387011" w:rsidRPr="00A86E17" w:rsidRDefault="00387011" w:rsidP="00336B8B">
      <w:pPr>
        <w:rPr>
          <w:szCs w:val="22"/>
        </w:rPr>
      </w:pPr>
    </w:p>
    <w:p w14:paraId="6BB08BC6" w14:textId="59A0C21B" w:rsidR="00387011" w:rsidRPr="007A3D31" w:rsidRDefault="00BB57E6" w:rsidP="00387011">
      <w:pPr>
        <w:pStyle w:val="Heading2"/>
      </w:pPr>
      <w:r>
        <w:t>Health Education England region</w:t>
      </w:r>
      <w:r w:rsidR="00387011" w:rsidRPr="007A3D31">
        <w:t xml:space="preserve"> in which training will take place</w:t>
      </w:r>
    </w:p>
    <w:p w14:paraId="6EEF0F42" w14:textId="0FB0C940" w:rsidR="00387011" w:rsidRPr="00C65FA4" w:rsidRDefault="00BB57E6" w:rsidP="00C65FA4">
      <w:pPr>
        <w:pStyle w:val="NoSpacing"/>
      </w:pPr>
      <w:r w:rsidRPr="00C65FA4">
        <w:t>The clinical training will be based within NHS Hospital Trusts in</w:t>
      </w:r>
      <w:r w:rsidR="00642A58" w:rsidRPr="00C65FA4">
        <w:t xml:space="preserve"> Health Education England Yorkshire and the Humber</w:t>
      </w:r>
      <w:r w:rsidRPr="00C65FA4">
        <w:t xml:space="preserve">. This will include established Core </w:t>
      </w:r>
      <w:r w:rsidR="00C65FA4">
        <w:t xml:space="preserve">Surgical </w:t>
      </w:r>
      <w:r w:rsidRPr="00C65FA4">
        <w:t>Training and</w:t>
      </w:r>
      <w:r w:rsidR="005C24F3" w:rsidRPr="00C65FA4">
        <w:t xml:space="preserve"> </w:t>
      </w:r>
      <w:r w:rsidR="00642A58" w:rsidRPr="00C65FA4">
        <w:t>Trauma &amp; Orthopaedic Surgery Specialty Training programme</w:t>
      </w:r>
      <w:r w:rsidRPr="00C65FA4">
        <w:t>s</w:t>
      </w:r>
      <w:r w:rsidR="00D92400" w:rsidRPr="00C65FA4">
        <w:t>.</w:t>
      </w:r>
    </w:p>
    <w:p w14:paraId="64293935" w14:textId="77777777" w:rsidR="00387011" w:rsidRPr="007A3D31" w:rsidRDefault="00387011" w:rsidP="00387011">
      <w:pPr>
        <w:rPr>
          <w:szCs w:val="22"/>
        </w:rPr>
      </w:pPr>
    </w:p>
    <w:p w14:paraId="1C848531" w14:textId="77777777" w:rsidR="00387011" w:rsidRPr="007A3D31" w:rsidRDefault="00387011" w:rsidP="00387011">
      <w:pPr>
        <w:pStyle w:val="Heading2"/>
      </w:pPr>
      <w:r w:rsidRPr="007A3D31">
        <w:t>Research institution in which training will take place</w:t>
      </w:r>
    </w:p>
    <w:p w14:paraId="4A4F4B04" w14:textId="6D4B4B3C" w:rsidR="00AF5E8D" w:rsidRPr="00C65FA4" w:rsidRDefault="00546ADE" w:rsidP="00C65FA4">
      <w:pPr>
        <w:pStyle w:val="NoSpacing"/>
      </w:pPr>
      <w:r w:rsidRPr="00C65FA4">
        <w:t>The successful candidate</w:t>
      </w:r>
      <w:r w:rsidR="00387011" w:rsidRPr="00C65FA4">
        <w:t xml:space="preserve"> will be based at</w:t>
      </w:r>
      <w:r w:rsidR="00284185" w:rsidRPr="00C65FA4">
        <w:t xml:space="preserve"> </w:t>
      </w:r>
      <w:r w:rsidR="00C65FA4">
        <w:t xml:space="preserve">University of York and </w:t>
      </w:r>
      <w:r w:rsidR="00284185" w:rsidRPr="00C65FA4">
        <w:t xml:space="preserve">South Tees Hospitals NHS Trust </w:t>
      </w:r>
      <w:r w:rsidR="00C65FA4">
        <w:t>for their academic component</w:t>
      </w:r>
      <w:r w:rsidR="00AF5E8D" w:rsidRPr="00C65FA4">
        <w:t xml:space="preserve">. They will be supervised by </w:t>
      </w:r>
      <w:r w:rsidR="00642A58" w:rsidRPr="00C65FA4">
        <w:t>Prof Amar Rangan</w:t>
      </w:r>
      <w:r w:rsidR="00AF5E8D" w:rsidRPr="00C65FA4">
        <w:t>,</w:t>
      </w:r>
      <w:r w:rsidR="00642A58" w:rsidRPr="00C65FA4">
        <w:t xml:space="preserve"> Professor of Orthopaedic Surgery; Mary Kinross Trust and Royal College of Surgeons Chair, at Hull York Medical School (University of York)</w:t>
      </w:r>
      <w:r w:rsidR="00AF5E8D" w:rsidRPr="00C65FA4">
        <w:t>.</w:t>
      </w:r>
    </w:p>
    <w:p w14:paraId="67997349" w14:textId="446C994B" w:rsidR="00546ADE" w:rsidRPr="00C65FA4" w:rsidRDefault="00AF5E8D" w:rsidP="00C65FA4">
      <w:pPr>
        <w:pStyle w:val="NoSpacing"/>
      </w:pPr>
      <w:r w:rsidRPr="00C65FA4">
        <w:t>See</w:t>
      </w:r>
      <w:r w:rsidR="00387011" w:rsidRPr="00C65FA4">
        <w:t xml:space="preserve"> </w:t>
      </w:r>
      <w:hyperlink r:id="rId11" w:history="1">
        <w:r w:rsidR="00642A58" w:rsidRPr="00C65FA4">
          <w:t>https://www.york.ac.uk/healthsciences/our-staff/amar-rangan/</w:t>
        </w:r>
      </w:hyperlink>
      <w:r w:rsidR="00C65FA4">
        <w:t xml:space="preserve"> </w:t>
      </w:r>
      <w:r w:rsidR="00642A58" w:rsidRPr="00C65FA4">
        <w:t xml:space="preserve"> </w:t>
      </w:r>
    </w:p>
    <w:p w14:paraId="1B79FBBF" w14:textId="77777777" w:rsidR="00387011" w:rsidRPr="007A3D31" w:rsidRDefault="00387011" w:rsidP="00387011">
      <w:pPr>
        <w:rPr>
          <w:szCs w:val="22"/>
        </w:rPr>
      </w:pPr>
    </w:p>
    <w:p w14:paraId="31BB8E4D" w14:textId="77777777" w:rsidR="00387011" w:rsidRPr="00060FA1" w:rsidRDefault="00387011" w:rsidP="00387011">
      <w:pPr>
        <w:pStyle w:val="Heading2"/>
        <w:rPr>
          <w:u w:val="single"/>
        </w:rPr>
      </w:pPr>
      <w:r w:rsidRPr="00060FA1">
        <w:t>Research Protected Time:</w:t>
      </w:r>
      <w:r w:rsidRPr="00060FA1">
        <w:rPr>
          <w:rStyle w:val="CommentReference"/>
          <w:rFonts w:cs="Times New Roman"/>
          <w:lang w:val="x-none"/>
        </w:rPr>
        <w:t xml:space="preserve"> </w:t>
      </w:r>
    </w:p>
    <w:p w14:paraId="034EF77E" w14:textId="4B3FDFD5" w:rsidR="00387011" w:rsidRPr="00C65FA4" w:rsidRDefault="0063410C" w:rsidP="00C65FA4">
      <w:pPr>
        <w:pStyle w:val="NoSpacing"/>
      </w:pPr>
      <w:r w:rsidRPr="00C65FA4">
        <w:t xml:space="preserve">ACFs have protected time to </w:t>
      </w:r>
      <w:r w:rsidR="00C65FA4">
        <w:t xml:space="preserve">undertake research. They may </w:t>
      </w:r>
      <w:r w:rsidRPr="00C65FA4">
        <w:t>attend and complete either an MSc by research or take relevant modules to extend their training (if they already have an MSc), at Hull York Medical School, if deemed appropriate. The protected research period (25%) is used to obtain specific experience and knowledge in the research area of interest, obtain pilot data, and apply for an external research fellowship.</w:t>
      </w:r>
    </w:p>
    <w:p w14:paraId="79187C76" w14:textId="77777777" w:rsidR="00280640" w:rsidRPr="005E4604" w:rsidRDefault="00280640" w:rsidP="00387011">
      <w:pPr>
        <w:rPr>
          <w:szCs w:val="22"/>
        </w:rPr>
      </w:pPr>
    </w:p>
    <w:p w14:paraId="5EBE22D0" w14:textId="6CE9E737" w:rsidR="00280640" w:rsidRPr="00280640" w:rsidRDefault="00280640" w:rsidP="00280640">
      <w:pPr>
        <w:pStyle w:val="Heading2"/>
      </w:pPr>
      <w:r w:rsidRPr="007A3D31">
        <w:t>Academic Clinical Fellowship Training Programme: Research Component</w:t>
      </w:r>
      <w:r>
        <w:t xml:space="preserve"> </w:t>
      </w:r>
    </w:p>
    <w:p w14:paraId="35081F44" w14:textId="6C7AC452" w:rsidR="00642A58" w:rsidRDefault="00546ADE" w:rsidP="00C65FA4">
      <w:pPr>
        <w:pStyle w:val="NoSpacing"/>
      </w:pPr>
      <w:r w:rsidRPr="00C65FA4">
        <w:t xml:space="preserve">The </w:t>
      </w:r>
      <w:r w:rsidR="00642A58" w:rsidRPr="00C65FA4">
        <w:t>research component of the post will be based at University of York. The York Trials Unit is a Royal College of Surgeons (RCS) Surgical Trials Centre (STC). Prof Amar Rangan holds the Mary Kinross Trust &amp; RCS Chair at the Hull York Medical School (University of York) linked with the STC</w:t>
      </w:r>
      <w:r w:rsidR="006F13A6" w:rsidRPr="00C65FA4">
        <w:t>, with his clinical duties at South Tees Hospitals NHS Trust</w:t>
      </w:r>
      <w:r w:rsidR="00642A58" w:rsidRPr="00C65FA4">
        <w:t>. A large network of collaborating NHS Centres and Consultants contribute to the research activity at the STC.</w:t>
      </w:r>
    </w:p>
    <w:p w14:paraId="3CCA64BE" w14:textId="77777777" w:rsidR="00C65FA4" w:rsidRPr="00C65FA4" w:rsidRDefault="00C65FA4" w:rsidP="00C65FA4">
      <w:pPr>
        <w:pStyle w:val="NoSpacing"/>
      </w:pPr>
    </w:p>
    <w:p w14:paraId="13A450B1" w14:textId="587668DA" w:rsidR="00642A58" w:rsidRPr="00C65FA4" w:rsidRDefault="00642A58" w:rsidP="00C65FA4">
      <w:pPr>
        <w:pStyle w:val="NoSpacing"/>
      </w:pPr>
      <w:r w:rsidRPr="00C65FA4">
        <w:t>The successful applicant will develop a project under the supervision of Professor Amar Rangan. This will involve writing the study protocol and gaining ethics and NHS governance approvals; the applicant will then undertake the project and complete the project with publication(s). The bulk of the 25% research time is loaded into year two. This is to give continuity and meaningful time for immersion in the research. The first year will be used to plan and prepare and the third year will allow for writing up the work for publication and for a PhD Fellowship bid to be submitted/outcome awaited.</w:t>
      </w:r>
    </w:p>
    <w:p w14:paraId="21B859BD" w14:textId="77777777" w:rsidR="00642A58" w:rsidRPr="00C65FA4" w:rsidRDefault="00642A58" w:rsidP="00C65FA4">
      <w:pPr>
        <w:pStyle w:val="NoSpacing"/>
      </w:pPr>
    </w:p>
    <w:p w14:paraId="38576D6B" w14:textId="77777777" w:rsidR="00642A58" w:rsidRPr="00642A58" w:rsidRDefault="00642A58" w:rsidP="00C65FA4">
      <w:pPr>
        <w:pStyle w:val="NoSpacing"/>
        <w:rPr>
          <w:szCs w:val="22"/>
        </w:rPr>
      </w:pPr>
      <w:r w:rsidRPr="00C65FA4">
        <w:t xml:space="preserve">The research project will relate to Trauma &amp; Orthopaedic Surgery (T&amp;O) and will reflect the interests of the successful ACF. Potential projects include (1) systematic review of a </w:t>
      </w:r>
      <w:r w:rsidRPr="00C65FA4">
        <w:lastRenderedPageBreak/>
        <w:t>suitable T&amp;O topic to define a research priority and inform a Doctoral grant application (2) research based on data collected from completed and ongoing T&amp;O clinical trials at the STC (3) a feasibility study to aid a</w:t>
      </w:r>
      <w:r w:rsidRPr="00642A58">
        <w:rPr>
          <w:szCs w:val="22"/>
        </w:rPr>
        <w:t xml:space="preserve"> planned multi-centre clinical trial (4) qualitative work to explore patient experience (5) stakeholder surveys to inform the design of a clinical trial. Areas of expertise in the research team include fragility fractures, major trauma, arthritis, peri-operative care, inflammatory and degenerative conditions of the musculoskeletal system. The successful candidate would be encouraged to undertake a project within the </w:t>
      </w:r>
      <w:proofErr w:type="gramStart"/>
      <w:r w:rsidRPr="00642A58">
        <w:rPr>
          <w:szCs w:val="22"/>
        </w:rPr>
        <w:t>particular area</w:t>
      </w:r>
      <w:proofErr w:type="gramEnd"/>
      <w:r w:rsidRPr="00642A58">
        <w:rPr>
          <w:szCs w:val="22"/>
        </w:rPr>
        <w:t xml:space="preserve"> of T&amp;O in which they are most interested and, with appropriate guidance, be expected to develop their research project during the first year of appointment.</w:t>
      </w:r>
    </w:p>
    <w:p w14:paraId="5BAC59E4" w14:textId="77777777" w:rsidR="00C65FA4" w:rsidRDefault="00C65FA4" w:rsidP="00642A58">
      <w:pPr>
        <w:rPr>
          <w:szCs w:val="22"/>
        </w:rPr>
      </w:pPr>
    </w:p>
    <w:p w14:paraId="15AACCC3" w14:textId="45BDCDAD" w:rsidR="00642A58" w:rsidRDefault="00642A58" w:rsidP="00C65FA4">
      <w:pPr>
        <w:pStyle w:val="NoSpacing"/>
      </w:pPr>
      <w:r w:rsidRPr="00C65FA4">
        <w:t xml:space="preserve">On appointment, in conjunction with their supervisor, the ACF will complete a Training Needs Analysis (TNA) and will access modules from the HYMS Post Graduate Training programme, both to help with their research project and with their professional development as a researcher. Full training in research methods and good clinical practice will be provided. The ACF will have an academic supervisor throughout. If - as expected - the ACF registers for a MSc by research*, they will also have a Thesis Advisory Panel (TAP), which usually comprises the supervisor and two other members of academic staff, one of whom acts as the Chair and is independent from the supervisor. The TAP provides academic support and external review of progress. </w:t>
      </w:r>
    </w:p>
    <w:p w14:paraId="1D885113" w14:textId="77777777" w:rsidR="00C65FA4" w:rsidRPr="00C65FA4" w:rsidRDefault="00C65FA4" w:rsidP="00C65FA4">
      <w:pPr>
        <w:pStyle w:val="NoSpacing"/>
      </w:pPr>
    </w:p>
    <w:p w14:paraId="37E94637" w14:textId="119AF69C" w:rsidR="00642A58" w:rsidRDefault="00642A58" w:rsidP="00C65FA4">
      <w:pPr>
        <w:pStyle w:val="NoSpacing"/>
      </w:pPr>
      <w:r w:rsidRPr="00C65FA4">
        <w:t>We anticipate the successful exit point for the ACF will be the award of an externally funded clinical research training fellowship to pursue a PhD or MD; prior to re-joining the academic career path as a Clinical Lecturer.</w:t>
      </w:r>
    </w:p>
    <w:p w14:paraId="00F374B3" w14:textId="77777777" w:rsidR="00C65FA4" w:rsidRPr="00C65FA4" w:rsidRDefault="00C65FA4" w:rsidP="00C65FA4">
      <w:pPr>
        <w:pStyle w:val="NoSpacing"/>
      </w:pPr>
    </w:p>
    <w:p w14:paraId="07B41825" w14:textId="312AC2C9" w:rsidR="00280640" w:rsidRPr="00C65FA4" w:rsidRDefault="00642A58" w:rsidP="00C65FA4">
      <w:pPr>
        <w:pStyle w:val="NoSpacing"/>
      </w:pPr>
      <w:r w:rsidRPr="00C65FA4">
        <w:t xml:space="preserve">* </w:t>
      </w:r>
      <w:hyperlink r:id="rId12" w:history="1">
        <w:r w:rsidRPr="00C65FA4">
          <w:t>https://www.york.ac.uk/study/postgraduate-taught/courses/msc-health-research/</w:t>
        </w:r>
      </w:hyperlink>
    </w:p>
    <w:p w14:paraId="534ECC91" w14:textId="77777777" w:rsidR="008F15AE" w:rsidRPr="008F15AE" w:rsidRDefault="008F15AE" w:rsidP="008F15AE"/>
    <w:p w14:paraId="11D293A6" w14:textId="0CA9E604" w:rsidR="00280640" w:rsidRPr="001446D6" w:rsidRDefault="00280640" w:rsidP="00280640">
      <w:pPr>
        <w:pStyle w:val="Heading2"/>
      </w:pPr>
      <w:r w:rsidRPr="007A3D31">
        <w:t>Academic Clinical Fellowship Training Programme: Clinical Component</w:t>
      </w:r>
      <w:r>
        <w:t xml:space="preserve"> </w:t>
      </w:r>
    </w:p>
    <w:p w14:paraId="658B99E6" w14:textId="6865D9A2" w:rsidR="00642A58" w:rsidRDefault="00642A58" w:rsidP="00C65FA4">
      <w:pPr>
        <w:pStyle w:val="NoSpacing"/>
      </w:pPr>
      <w:r>
        <w:t xml:space="preserve">The clinical component of the ACF will be based </w:t>
      </w:r>
      <w:r w:rsidR="00BB57E6">
        <w:t>within NHS Hospital Trusts in the Health Education England Yorkshire &amp; Humber region (see Appendix 1)</w:t>
      </w:r>
      <w:r>
        <w:t xml:space="preserve">. The Fellow will enter run through training in posts on the established Health Education England Yorkshire and the Humber (HEEYH) Trauma &amp; Orthopaedic Surgery (T&amp;O) Specialty Training programme. The clinical and research allocation are </w:t>
      </w:r>
      <w:r w:rsidR="0016395A">
        <w:t>proposed</w:t>
      </w:r>
      <w:r>
        <w:t xml:space="preserve"> as follows</w:t>
      </w:r>
      <w:r w:rsidR="0016395A">
        <w:t>, although may be adapted according to trainee needs and rotational requirements</w:t>
      </w:r>
      <w:r>
        <w:t>:</w:t>
      </w:r>
    </w:p>
    <w:p w14:paraId="379BF980" w14:textId="576A7EBD" w:rsidR="00642A58" w:rsidRDefault="00642A58" w:rsidP="00C65FA4">
      <w:pPr>
        <w:pStyle w:val="NoSpacing"/>
      </w:pPr>
      <w:r>
        <w:t xml:space="preserve">• Year </w:t>
      </w:r>
      <w:r w:rsidR="005C24F3">
        <w:t>1</w:t>
      </w:r>
      <w:r>
        <w:t xml:space="preserve">: generic </w:t>
      </w:r>
      <w:r w:rsidR="00095070">
        <w:t xml:space="preserve">clinical </w:t>
      </w:r>
      <w:r>
        <w:t>post</w:t>
      </w:r>
      <w:r w:rsidR="00095070">
        <w:t>s</w:t>
      </w:r>
      <w:r>
        <w:t xml:space="preserve"> </w:t>
      </w:r>
      <w:r w:rsidR="0016395A">
        <w:t xml:space="preserve">for </w:t>
      </w:r>
      <w:r w:rsidR="00095070">
        <w:t xml:space="preserve">9 </w:t>
      </w:r>
      <w:r w:rsidR="0016395A">
        <w:t xml:space="preserve">months </w:t>
      </w:r>
      <w:r>
        <w:t xml:space="preserve">covering </w:t>
      </w:r>
      <w:r w:rsidR="00095070">
        <w:t>specialties relevant to</w:t>
      </w:r>
      <w:r w:rsidR="001C5708">
        <w:t xml:space="preserve"> </w:t>
      </w:r>
      <w:r>
        <w:t xml:space="preserve">orthopaedic trauma and an orthopaedic </w:t>
      </w:r>
      <w:r w:rsidR="00095070">
        <w:t>surgery</w:t>
      </w:r>
      <w:r>
        <w:t xml:space="preserve"> </w:t>
      </w:r>
      <w:r w:rsidR="005C24F3">
        <w:t xml:space="preserve">and </w:t>
      </w:r>
      <w:r w:rsidR="00095070">
        <w:t>3</w:t>
      </w:r>
      <w:r w:rsidR="005C24F3">
        <w:t xml:space="preserve"> months research</w:t>
      </w:r>
    </w:p>
    <w:p w14:paraId="75BF8162" w14:textId="2B8CF619" w:rsidR="00642A58" w:rsidRDefault="00642A58" w:rsidP="00C65FA4">
      <w:pPr>
        <w:pStyle w:val="NoSpacing"/>
      </w:pPr>
      <w:r>
        <w:t>•</w:t>
      </w:r>
      <w:r w:rsidR="005C24F3">
        <w:t xml:space="preserve"> </w:t>
      </w:r>
      <w:r>
        <w:t xml:space="preserve">Year </w:t>
      </w:r>
      <w:r w:rsidR="005C24F3">
        <w:t>2</w:t>
      </w:r>
      <w:r>
        <w:t xml:space="preserve">: with Prof Amar Rangan </w:t>
      </w:r>
      <w:r w:rsidR="0016395A">
        <w:t>undertaking</w:t>
      </w:r>
      <w:r>
        <w:t xml:space="preserve"> </w:t>
      </w:r>
      <w:r w:rsidR="001C5708">
        <w:t>6</w:t>
      </w:r>
      <w:r>
        <w:t xml:space="preserve"> months in full time research</w:t>
      </w:r>
    </w:p>
    <w:p w14:paraId="07E07BF5" w14:textId="200D123A" w:rsidR="005C24F3" w:rsidRDefault="00642A58" w:rsidP="00C65FA4">
      <w:pPr>
        <w:pStyle w:val="NoSpacing"/>
      </w:pPr>
      <w:r>
        <w:t xml:space="preserve">• Year </w:t>
      </w:r>
      <w:r w:rsidR="005C24F3">
        <w:t>3</w:t>
      </w:r>
      <w:r>
        <w:t>: orthopaedic subspecialty posts* to complement years one and two</w:t>
      </w:r>
    </w:p>
    <w:p w14:paraId="3080F0DF" w14:textId="77777777" w:rsidR="00C65FA4" w:rsidRDefault="00C65FA4" w:rsidP="00C65FA4">
      <w:pPr>
        <w:pStyle w:val="NoSpacing"/>
      </w:pPr>
    </w:p>
    <w:p w14:paraId="316511A7" w14:textId="5DA55E85" w:rsidR="00642A58" w:rsidRDefault="00642A58" w:rsidP="00C65FA4">
      <w:pPr>
        <w:pStyle w:val="NoSpacing"/>
      </w:pPr>
      <w:r>
        <w:t>*</w:t>
      </w:r>
      <w:proofErr w:type="gramStart"/>
      <w:r>
        <w:t>orthopaedic</w:t>
      </w:r>
      <w:proofErr w:type="gramEnd"/>
      <w:r>
        <w:t xml:space="preserve"> subspecialty posts cover hip, knee, foot &amp; ankle, spine, shoulder &amp; elbow, hand and paediatric orthopaedics </w:t>
      </w:r>
    </w:p>
    <w:p w14:paraId="2C280768" w14:textId="77777777" w:rsidR="00C65FA4" w:rsidRDefault="00C65FA4" w:rsidP="00C65FA4">
      <w:pPr>
        <w:pStyle w:val="NoSpacing"/>
      </w:pPr>
    </w:p>
    <w:p w14:paraId="4D117939" w14:textId="16B0FAA0" w:rsidR="00642A58" w:rsidRDefault="00642A58" w:rsidP="00C65FA4">
      <w:pPr>
        <w:pStyle w:val="NoSpacing"/>
      </w:pPr>
      <w:r>
        <w:t xml:space="preserve">Other than trauma, the choice of sub-speciality training will depend upon the interests as well as the trainee’s requirements for the T&amp;O exit examination, and Completion of training (CCT). </w:t>
      </w:r>
    </w:p>
    <w:p w14:paraId="1E8B7770" w14:textId="77777777" w:rsidR="00C65FA4" w:rsidRDefault="00C65FA4" w:rsidP="00C65FA4">
      <w:pPr>
        <w:pStyle w:val="NoSpacing"/>
      </w:pPr>
    </w:p>
    <w:p w14:paraId="1C059040" w14:textId="410AA75F" w:rsidR="00546ADE" w:rsidRDefault="00642A58" w:rsidP="00C65FA4">
      <w:pPr>
        <w:pStyle w:val="NoSpacing"/>
      </w:pPr>
      <w:r>
        <w:t>The clinical training will be assessed annually, through the ARCP process and the same competencies and annual training requirements (as laid out by the Joint Committee on Surgical Training JCST - such as operative numbers, work</w:t>
      </w:r>
      <w:r w:rsidR="005C24F3">
        <w:t>-</w:t>
      </w:r>
      <w:r>
        <w:t xml:space="preserve">based assessments, CPD, audit, </w:t>
      </w:r>
      <w:proofErr w:type="gramStart"/>
      <w:r>
        <w:t>teaching</w:t>
      </w:r>
      <w:proofErr w:type="gramEnd"/>
      <w:r>
        <w:t xml:space="preserve"> and research) will need to be met in order to continue the clinical training, as per HEE processes.</w:t>
      </w:r>
      <w:r w:rsidR="005C24F3">
        <w:t xml:space="preserve"> </w:t>
      </w:r>
      <w:r w:rsidR="00546ADE">
        <w:t>The curriculum of training is outlined on the I</w:t>
      </w:r>
      <w:r w:rsidR="00F85689">
        <w:t>ntercollegiate Surgical Curriculum Project (I</w:t>
      </w:r>
      <w:r w:rsidR="00546ADE">
        <w:t>SCP</w:t>
      </w:r>
      <w:r w:rsidR="00F85689">
        <w:t>)</w:t>
      </w:r>
      <w:r w:rsidR="00546ADE">
        <w:t xml:space="preserve"> website and all trainees are expected to enrol with this portfolio </w:t>
      </w:r>
      <w:r w:rsidR="00546ADE">
        <w:lastRenderedPageBreak/>
        <w:t>provider.  All trainees will have an A</w:t>
      </w:r>
      <w:r w:rsidR="00F85689">
        <w:t xml:space="preserve">ssigned Educational </w:t>
      </w:r>
      <w:r w:rsidR="00546ADE">
        <w:t>S</w:t>
      </w:r>
      <w:r w:rsidR="00F85689">
        <w:t>upervisor</w:t>
      </w:r>
      <w:r w:rsidR="00546ADE">
        <w:t xml:space="preserve"> provided and all jobs are working towards the aspirations of the SMART guidance from the JCST. The ISCP curriculum guides the trainee through what is expected from them at all levels of training.  The academic programme will provide training in generic research skills (statistical analysis, methodology, literature searches etc) and will expect candidates to present their work to the department for feedback. </w:t>
      </w:r>
    </w:p>
    <w:p w14:paraId="649B641D" w14:textId="1075A6CE" w:rsidR="00546ADE" w:rsidRDefault="00000000" w:rsidP="00C65FA4">
      <w:pPr>
        <w:pStyle w:val="NoSpacing"/>
      </w:pPr>
      <w:hyperlink r:id="rId13" w:history="1">
        <w:r w:rsidR="005C24F3" w:rsidRPr="00C65FA4">
          <w:t>http://www.iscp.ac.uk</w:t>
        </w:r>
      </w:hyperlink>
      <w:r w:rsidR="005C24F3">
        <w:t xml:space="preserve"> </w:t>
      </w:r>
    </w:p>
    <w:p w14:paraId="385CA805" w14:textId="31462CF6" w:rsidR="00546ADE" w:rsidRDefault="00000000" w:rsidP="00C65FA4">
      <w:pPr>
        <w:pStyle w:val="NoSpacing"/>
      </w:pPr>
      <w:hyperlink r:id="rId14" w:history="1">
        <w:r w:rsidR="005C24F3" w:rsidRPr="00C65FA4">
          <w:t>http://www.jcst.org</w:t>
        </w:r>
      </w:hyperlink>
      <w:r w:rsidR="005C24F3">
        <w:t xml:space="preserve"> </w:t>
      </w:r>
    </w:p>
    <w:p w14:paraId="2678DE78" w14:textId="28F3747B" w:rsidR="005C24F3" w:rsidRDefault="00000000" w:rsidP="00C65FA4">
      <w:pPr>
        <w:pStyle w:val="NoSpacing"/>
      </w:pPr>
      <w:hyperlink r:id="rId15" w:history="1">
        <w:r w:rsidR="005C24F3" w:rsidRPr="00C65FA4">
          <w:t>https://www.yorksandhumberdeanery.nhs.uk/surgery/core_surgical_training/</w:t>
        </w:r>
      </w:hyperlink>
    </w:p>
    <w:p w14:paraId="13D34067" w14:textId="110B16DF" w:rsidR="005C24F3" w:rsidRDefault="00000000" w:rsidP="00C65FA4">
      <w:pPr>
        <w:pStyle w:val="NoSpacing"/>
      </w:pPr>
      <w:hyperlink r:id="rId16" w:history="1">
        <w:r w:rsidR="005C24F3" w:rsidRPr="00C65FA4">
          <w:t>https://www.yorksandhumberdeanery.nhs.uk/surgery/trauma__orthopaedics</w:t>
        </w:r>
      </w:hyperlink>
    </w:p>
    <w:p w14:paraId="41DEE35D" w14:textId="77777777" w:rsidR="00336B8B" w:rsidRPr="001446D6" w:rsidRDefault="00336B8B" w:rsidP="001446D6">
      <w:pPr>
        <w:pStyle w:val="Heading1"/>
      </w:pPr>
      <w:r>
        <w:t>CONTACTS</w:t>
      </w:r>
    </w:p>
    <w:p w14:paraId="1EC53F6D" w14:textId="3BB65B96" w:rsidR="00336B8B" w:rsidRPr="009D2B6E" w:rsidRDefault="00336B8B" w:rsidP="001446D6">
      <w:pPr>
        <w:pStyle w:val="Heading2"/>
      </w:pPr>
      <w:r w:rsidRPr="009D2B6E">
        <w:t>Academic Lead and Supervisor</w:t>
      </w:r>
    </w:p>
    <w:p w14:paraId="039DAB2A" w14:textId="77777777" w:rsidR="00C65FA4" w:rsidRDefault="005C24F3" w:rsidP="00D92400">
      <w:pPr>
        <w:pStyle w:val="E-mailSignature"/>
        <w:jc w:val="both"/>
        <w:rPr>
          <w:rFonts w:ascii="Arial" w:hAnsi="Arial" w:cs="Arial"/>
          <w:noProof/>
          <w:sz w:val="22"/>
          <w:szCs w:val="22"/>
        </w:rPr>
      </w:pPr>
      <w:r w:rsidRPr="005C24F3">
        <w:rPr>
          <w:rFonts w:ascii="Arial" w:hAnsi="Arial" w:cs="Arial"/>
          <w:noProof/>
          <w:sz w:val="22"/>
          <w:szCs w:val="22"/>
        </w:rPr>
        <w:t xml:space="preserve">Professor Amar Rangan, </w:t>
      </w:r>
    </w:p>
    <w:p w14:paraId="17F84E03" w14:textId="77777777" w:rsidR="00C65FA4" w:rsidRDefault="005C24F3" w:rsidP="00D92400">
      <w:pPr>
        <w:pStyle w:val="E-mailSignature"/>
        <w:jc w:val="both"/>
        <w:rPr>
          <w:rFonts w:ascii="Arial" w:hAnsi="Arial" w:cs="Arial"/>
          <w:noProof/>
          <w:sz w:val="22"/>
          <w:szCs w:val="22"/>
        </w:rPr>
      </w:pPr>
      <w:r w:rsidRPr="005C24F3">
        <w:rPr>
          <w:rFonts w:ascii="Arial" w:hAnsi="Arial" w:cs="Arial"/>
          <w:noProof/>
          <w:sz w:val="22"/>
          <w:szCs w:val="22"/>
        </w:rPr>
        <w:t xml:space="preserve">Professor of Orthopaedic Surgery; Mary Kinross Trust and Royal College of Surgeons Chair, University of York. </w:t>
      </w:r>
    </w:p>
    <w:p w14:paraId="143B01AA" w14:textId="14A7AF6C" w:rsidR="00D92400" w:rsidRDefault="00000000" w:rsidP="00D92400">
      <w:pPr>
        <w:pStyle w:val="E-mailSignature"/>
        <w:jc w:val="both"/>
        <w:rPr>
          <w:rFonts w:ascii="Arial" w:hAnsi="Arial" w:cs="Arial"/>
          <w:noProof/>
          <w:sz w:val="22"/>
          <w:szCs w:val="22"/>
        </w:rPr>
      </w:pPr>
      <w:hyperlink r:id="rId17" w:history="1">
        <w:r w:rsidR="00C65FA4" w:rsidRPr="00A12239">
          <w:rPr>
            <w:rStyle w:val="Hyperlink"/>
            <w:rFonts w:ascii="Arial" w:hAnsi="Arial" w:cs="Arial"/>
            <w:noProof/>
            <w:sz w:val="22"/>
            <w:szCs w:val="22"/>
          </w:rPr>
          <w:t>amar.rangan@york.ac.uk</w:t>
        </w:r>
      </w:hyperlink>
    </w:p>
    <w:p w14:paraId="6A50C6CE" w14:textId="77777777" w:rsidR="005C24F3" w:rsidRPr="009D2B6E" w:rsidRDefault="005C24F3" w:rsidP="00D92400">
      <w:pPr>
        <w:pStyle w:val="E-mailSignature"/>
        <w:jc w:val="both"/>
        <w:rPr>
          <w:rFonts w:ascii="Arial" w:hAnsi="Arial" w:cs="Arial"/>
          <w:noProof/>
          <w:sz w:val="22"/>
          <w:szCs w:val="22"/>
        </w:rPr>
      </w:pPr>
    </w:p>
    <w:p w14:paraId="495FF57C" w14:textId="76D35723" w:rsidR="008F15AE" w:rsidRDefault="00D92400" w:rsidP="00974F15">
      <w:pPr>
        <w:pStyle w:val="Heading2"/>
      </w:pPr>
      <w:r>
        <w:t>Clinical</w:t>
      </w:r>
      <w:r w:rsidRPr="000073CB">
        <w:t xml:space="preserve"> Training Programme Director</w:t>
      </w:r>
      <w:r w:rsidR="00CF651E">
        <w:t>s</w:t>
      </w:r>
    </w:p>
    <w:p w14:paraId="5632E8FE" w14:textId="77777777" w:rsidR="00F9572D" w:rsidRPr="00F9572D" w:rsidRDefault="00F9572D" w:rsidP="00F9572D">
      <w:pPr>
        <w:pStyle w:val="BodyText"/>
        <w:jc w:val="both"/>
        <w:rPr>
          <w:szCs w:val="22"/>
          <w:lang w:val="pt-PT"/>
        </w:rPr>
      </w:pPr>
      <w:r w:rsidRPr="00F9572D">
        <w:rPr>
          <w:szCs w:val="22"/>
          <w:lang w:val="pt-PT"/>
        </w:rPr>
        <w:t>Mr Kevin Wembridge</w:t>
      </w:r>
    </w:p>
    <w:p w14:paraId="7A2149F0" w14:textId="6DC9B70D" w:rsidR="00F9572D" w:rsidRPr="00F9572D" w:rsidRDefault="00BB57E6" w:rsidP="00F9572D">
      <w:pPr>
        <w:pStyle w:val="BodyText"/>
        <w:jc w:val="both"/>
        <w:rPr>
          <w:szCs w:val="22"/>
          <w:lang w:val="pt-PT"/>
        </w:rPr>
      </w:pPr>
      <w:r>
        <w:rPr>
          <w:szCs w:val="22"/>
          <w:lang w:val="pt-PT"/>
        </w:rPr>
        <w:t xml:space="preserve">Specialty </w:t>
      </w:r>
      <w:r w:rsidR="00F9572D">
        <w:rPr>
          <w:szCs w:val="22"/>
          <w:lang w:val="pt-PT"/>
        </w:rPr>
        <w:t>T</w:t>
      </w:r>
      <w:r w:rsidR="00F9572D" w:rsidRPr="00F9572D">
        <w:rPr>
          <w:szCs w:val="22"/>
          <w:lang w:val="pt-PT"/>
        </w:rPr>
        <w:t>raining Programme Director (T&amp;O Surgery)</w:t>
      </w:r>
    </w:p>
    <w:p w14:paraId="6AAC7EA5" w14:textId="3625128C" w:rsidR="00F9572D" w:rsidRPr="00F9572D" w:rsidRDefault="00F9572D" w:rsidP="00F9572D">
      <w:pPr>
        <w:pStyle w:val="BodyText"/>
        <w:jc w:val="both"/>
        <w:rPr>
          <w:szCs w:val="22"/>
          <w:lang w:val="pt-PT"/>
        </w:rPr>
      </w:pPr>
      <w:r w:rsidRPr="00F9572D">
        <w:rPr>
          <w:szCs w:val="22"/>
          <w:lang w:val="pt-PT"/>
        </w:rPr>
        <w:t xml:space="preserve">Email: </w:t>
      </w:r>
      <w:hyperlink r:id="rId18" w:history="1">
        <w:r w:rsidRPr="00822AA1">
          <w:rPr>
            <w:rStyle w:val="Hyperlink"/>
            <w:szCs w:val="22"/>
            <w:lang w:val="pt-PT"/>
          </w:rPr>
          <w:t>kevin.wembridge@nhs.net</w:t>
        </w:r>
      </w:hyperlink>
      <w:r>
        <w:rPr>
          <w:szCs w:val="22"/>
          <w:lang w:val="pt-PT"/>
        </w:rPr>
        <w:t xml:space="preserve"> </w:t>
      </w:r>
    </w:p>
    <w:p w14:paraId="09158D32" w14:textId="77777777" w:rsidR="00F9572D" w:rsidRPr="00F9572D" w:rsidRDefault="00F9572D" w:rsidP="00F9572D">
      <w:pPr>
        <w:pStyle w:val="BodyText"/>
        <w:jc w:val="both"/>
        <w:rPr>
          <w:szCs w:val="22"/>
          <w:lang w:val="pt-PT"/>
        </w:rPr>
      </w:pPr>
    </w:p>
    <w:p w14:paraId="3116E75B" w14:textId="1135D396" w:rsidR="00CF3F19" w:rsidRDefault="00BB57E6" w:rsidP="00F9572D">
      <w:pPr>
        <w:pStyle w:val="BodyText"/>
        <w:jc w:val="both"/>
        <w:rPr>
          <w:szCs w:val="22"/>
          <w:lang w:val="pt-PT"/>
        </w:rPr>
      </w:pPr>
      <w:r>
        <w:rPr>
          <w:szCs w:val="22"/>
          <w:lang w:val="pt-PT"/>
        </w:rPr>
        <w:t>Mr Adam Barlow</w:t>
      </w:r>
    </w:p>
    <w:p w14:paraId="5902ECB8" w14:textId="74EA0F88" w:rsidR="00BB57E6" w:rsidRDefault="00BB57E6" w:rsidP="00F9572D">
      <w:pPr>
        <w:pStyle w:val="BodyText"/>
        <w:jc w:val="both"/>
        <w:rPr>
          <w:szCs w:val="22"/>
          <w:lang w:val="pt-PT"/>
        </w:rPr>
      </w:pPr>
      <w:r>
        <w:rPr>
          <w:szCs w:val="22"/>
          <w:lang w:val="pt-PT"/>
        </w:rPr>
        <w:t xml:space="preserve">Core Surgery Training Programme Director </w:t>
      </w:r>
    </w:p>
    <w:p w14:paraId="5262DBCD" w14:textId="068EA53C" w:rsidR="00531364" w:rsidRDefault="00531364" w:rsidP="00F9572D">
      <w:pPr>
        <w:pStyle w:val="BodyText"/>
        <w:jc w:val="both"/>
        <w:rPr>
          <w:szCs w:val="22"/>
          <w:lang w:val="pt-PT"/>
        </w:rPr>
      </w:pPr>
      <w:r>
        <w:rPr>
          <w:szCs w:val="22"/>
          <w:lang w:val="pt-PT"/>
        </w:rPr>
        <w:t xml:space="preserve">Email: </w:t>
      </w:r>
      <w:hyperlink r:id="rId19" w:history="1">
        <w:r w:rsidRPr="00FC7BB4">
          <w:rPr>
            <w:rStyle w:val="Hyperlink"/>
            <w:szCs w:val="22"/>
            <w:lang w:val="pt-PT"/>
          </w:rPr>
          <w:t>adam.barlow@nhs.net</w:t>
        </w:r>
      </w:hyperlink>
    </w:p>
    <w:p w14:paraId="403574DF" w14:textId="77777777" w:rsidR="00531364" w:rsidRDefault="00531364" w:rsidP="00F9572D">
      <w:pPr>
        <w:pStyle w:val="BodyText"/>
        <w:jc w:val="both"/>
        <w:rPr>
          <w:szCs w:val="22"/>
          <w:lang w:val="pt-PT"/>
        </w:rPr>
      </w:pPr>
    </w:p>
    <w:p w14:paraId="2B822A84" w14:textId="77777777" w:rsidR="00336B8B" w:rsidRPr="000073CB" w:rsidRDefault="00336B8B" w:rsidP="001446D6">
      <w:pPr>
        <w:pStyle w:val="Heading2"/>
      </w:pPr>
      <w:r w:rsidRPr="000073CB">
        <w:t>Academic Training Programme Director</w:t>
      </w:r>
    </w:p>
    <w:p w14:paraId="7D08DC68" w14:textId="2D77B50F" w:rsidR="00E02D02" w:rsidRDefault="00531364" w:rsidP="00961679">
      <w:pPr>
        <w:pStyle w:val="BodyText"/>
        <w:jc w:val="both"/>
        <w:rPr>
          <w:szCs w:val="22"/>
          <w:lang w:val="pt-PT"/>
        </w:rPr>
      </w:pPr>
      <w:r>
        <w:rPr>
          <w:szCs w:val="22"/>
          <w:lang w:val="pt-PT"/>
        </w:rPr>
        <w:t>Ms Emma Collins</w:t>
      </w:r>
    </w:p>
    <w:p w14:paraId="70950585" w14:textId="77777777" w:rsidR="00D955DB" w:rsidRDefault="00D955DB" w:rsidP="00D955DB">
      <w:pPr>
        <w:pStyle w:val="NoSpacing"/>
        <w:rPr>
          <w:lang w:eastAsia="en-GB"/>
        </w:rPr>
      </w:pPr>
      <w:r>
        <w:rPr>
          <w:lang w:eastAsia="en-GB"/>
        </w:rPr>
        <w:t>Academic Training Programme Director</w:t>
      </w:r>
    </w:p>
    <w:p w14:paraId="639FB141" w14:textId="2AC09688" w:rsidR="007E1E53" w:rsidRDefault="00000000" w:rsidP="00336B8B">
      <w:pPr>
        <w:pStyle w:val="BodyText"/>
        <w:jc w:val="both"/>
        <w:rPr>
          <w:szCs w:val="22"/>
          <w:u w:val="single"/>
          <w:lang w:val="pt-PT"/>
        </w:rPr>
      </w:pPr>
      <w:hyperlink r:id="rId20" w:history="1">
        <w:r w:rsidR="00531364" w:rsidRPr="00FC7BB4">
          <w:rPr>
            <w:rStyle w:val="Hyperlink"/>
            <w:szCs w:val="22"/>
            <w:lang w:val="pt-PT"/>
          </w:rPr>
          <w:t>emma.collins123@nhs.net</w:t>
        </w:r>
      </w:hyperlink>
    </w:p>
    <w:p w14:paraId="3774624F" w14:textId="395B9B80" w:rsidR="00531364" w:rsidRDefault="00531364" w:rsidP="00336B8B">
      <w:pPr>
        <w:pStyle w:val="BodyText"/>
        <w:jc w:val="both"/>
        <w:rPr>
          <w:szCs w:val="22"/>
          <w:u w:val="single"/>
          <w:lang w:val="pt-PT"/>
        </w:rPr>
      </w:pPr>
    </w:p>
    <w:p w14:paraId="0A694AE8" w14:textId="77777777" w:rsidR="00531364" w:rsidRPr="00961679" w:rsidRDefault="00531364" w:rsidP="00336B8B">
      <w:pPr>
        <w:pStyle w:val="BodyText"/>
        <w:jc w:val="both"/>
        <w:rPr>
          <w:szCs w:val="22"/>
          <w:u w:val="single"/>
          <w:lang w:val="pt-PT"/>
        </w:rPr>
      </w:pPr>
    </w:p>
    <w:p w14:paraId="006008A6" w14:textId="77777777" w:rsidR="00336B8B" w:rsidRPr="00636D00" w:rsidRDefault="00336B8B" w:rsidP="00636D00">
      <w:pPr>
        <w:pStyle w:val="Heading1"/>
        <w:spacing w:before="0"/>
        <w:rPr>
          <w:noProof/>
          <w:szCs w:val="22"/>
        </w:rPr>
      </w:pPr>
      <w:r w:rsidRPr="007A3D31">
        <w:t>Further Information</w:t>
      </w:r>
    </w:p>
    <w:p w14:paraId="7F386958" w14:textId="18F28C79" w:rsidR="00961679" w:rsidRPr="0041597A" w:rsidRDefault="00961679" w:rsidP="00961679">
      <w:pPr>
        <w:rPr>
          <w:rFonts w:asciiTheme="minorBidi" w:hAnsiTheme="minorBidi"/>
          <w:sz w:val="22"/>
          <w:szCs w:val="22"/>
        </w:rPr>
      </w:pPr>
      <w:r w:rsidRPr="0041597A">
        <w:rPr>
          <w:rFonts w:asciiTheme="minorBidi" w:hAnsiTheme="minorBidi"/>
          <w:sz w:val="22"/>
          <w:szCs w:val="22"/>
        </w:rPr>
        <w:t xml:space="preserve">Because of the nature of the work for which you are applying, </w:t>
      </w:r>
      <w:r w:rsidR="001D22EB">
        <w:rPr>
          <w:rFonts w:asciiTheme="minorBidi" w:hAnsiTheme="minorBidi"/>
          <w:sz w:val="22"/>
          <w:szCs w:val="22"/>
        </w:rPr>
        <w:t>t</w:t>
      </w:r>
      <w:r w:rsidRPr="0041597A">
        <w:rPr>
          <w:rFonts w:asciiTheme="minorBidi" w:hAnsiTheme="minorBidi"/>
          <w:sz w:val="22"/>
          <w:szCs w:val="22"/>
        </w:rPr>
        <w:t xml:space="preserve">his post is exempted from the provisions of Section 4 (2) of the Rehabilitation of Offenders Act 1974 by virtue of the Rehabilitation of Offenders Act 1974 (Exceptions) Order 1975. </w:t>
      </w:r>
    </w:p>
    <w:p w14:paraId="322E5925" w14:textId="77777777" w:rsidR="00961679" w:rsidRPr="0041597A" w:rsidRDefault="00961679" w:rsidP="00961679">
      <w:pPr>
        <w:widowControl w:val="0"/>
        <w:rPr>
          <w:rFonts w:asciiTheme="minorBidi" w:hAnsiTheme="minorBidi"/>
          <w:sz w:val="22"/>
          <w:szCs w:val="22"/>
        </w:rPr>
      </w:pPr>
      <w:r w:rsidRPr="0041597A">
        <w:rPr>
          <w:rFonts w:asciiTheme="minorBidi" w:hAnsiTheme="minorBidi"/>
          <w:sz w:val="22"/>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71EB230" w14:textId="77777777" w:rsidR="00961679" w:rsidRDefault="00961679" w:rsidP="00961679">
      <w:pPr>
        <w:rPr>
          <w:rFonts w:asciiTheme="minorBidi" w:hAnsiTheme="minorBidi"/>
        </w:rPr>
      </w:pPr>
      <w:r w:rsidRPr="0041597A">
        <w:rPr>
          <w:rFonts w:asciiTheme="minorBidi" w:hAnsiTheme="minorBidi"/>
          <w:sz w:val="22"/>
          <w:szCs w:val="22"/>
        </w:rPr>
        <w:t>For further information about the Academic Clinical Fellowship programme, please refer to the NIHR (National Institute for Health Research) Trainee Coordinating Centre (NIHRTCC) page on</w:t>
      </w:r>
      <w:r w:rsidRPr="00AD77A1">
        <w:rPr>
          <w:rFonts w:ascii="Gill Sans MT" w:hAnsi="Gill Sans MT"/>
          <w:szCs w:val="22"/>
        </w:rPr>
        <w:t xml:space="preserve"> </w:t>
      </w:r>
      <w:hyperlink r:id="rId21" w:history="1">
        <w:r w:rsidRPr="00E02D02">
          <w:rPr>
            <w:rStyle w:val="Hyperlink"/>
            <w:rFonts w:asciiTheme="minorBidi" w:hAnsiTheme="minorBidi"/>
          </w:rPr>
          <w:t>NIHR Integrated Academic Training For Doctors and Dentists - Academic Clinical Fellowships</w:t>
        </w:r>
      </w:hyperlink>
      <w:r w:rsidRPr="007F5FA6">
        <w:rPr>
          <w:rFonts w:asciiTheme="minorBidi" w:hAnsiTheme="minorBidi"/>
        </w:rPr>
        <w:t xml:space="preserve"> </w:t>
      </w:r>
    </w:p>
    <w:p w14:paraId="399BE88D" w14:textId="77777777" w:rsidR="00C65FA4" w:rsidRDefault="00C65FA4" w:rsidP="00961679">
      <w:pPr>
        <w:rPr>
          <w:rFonts w:eastAsiaTheme="majorEastAsia" w:cs="Arial"/>
          <w:b/>
          <w:bCs/>
          <w:color w:val="A00054"/>
          <w:sz w:val="40"/>
          <w:szCs w:val="40"/>
        </w:rPr>
      </w:pPr>
    </w:p>
    <w:p w14:paraId="3436BBE4" w14:textId="77777777" w:rsidR="00233AAA" w:rsidRPr="00233AAA" w:rsidRDefault="00233AAA" w:rsidP="00233AAA"/>
    <w:p w14:paraId="32D2DB2B" w14:textId="77777777" w:rsidR="00252C23" w:rsidRDefault="00252C23">
      <w:pPr>
        <w:rPr>
          <w:rFonts w:asciiTheme="minorBidi" w:hAnsiTheme="minorBidi"/>
          <w:b/>
          <w:bCs/>
        </w:rPr>
      </w:pPr>
      <w:r>
        <w:rPr>
          <w:rFonts w:asciiTheme="minorBidi" w:hAnsiTheme="minorBidi"/>
          <w:b/>
          <w:bCs/>
        </w:rPr>
        <w:br w:type="page"/>
      </w:r>
    </w:p>
    <w:p w14:paraId="5E2EC315" w14:textId="77777777" w:rsidR="00961679" w:rsidRPr="00D92400" w:rsidRDefault="00961679" w:rsidP="00D92400">
      <w:pPr>
        <w:pStyle w:val="Heading1"/>
        <w:rPr>
          <w:sz w:val="34"/>
        </w:rPr>
      </w:pPr>
      <w:r w:rsidRPr="00D92400">
        <w:rPr>
          <w:sz w:val="34"/>
        </w:rPr>
        <w:lastRenderedPageBreak/>
        <w:t>Appendix 1:</w:t>
      </w:r>
      <w:r w:rsidRPr="00D92400">
        <w:rPr>
          <w:sz w:val="34"/>
        </w:rPr>
        <w:tab/>
        <w:t xml:space="preserve">Further particulars – Hull York Medical School </w:t>
      </w:r>
    </w:p>
    <w:p w14:paraId="42A61B59" w14:textId="77777777" w:rsidR="00F75B9C" w:rsidRPr="00AD53B9" w:rsidRDefault="00F75B9C" w:rsidP="00F75B9C">
      <w:pPr>
        <w:spacing w:after="240"/>
        <w:ind w:right="-82"/>
        <w:rPr>
          <w:rFonts w:ascii="Arial" w:hAnsi="Arial" w:cs="Arial"/>
          <w:bCs/>
          <w:sz w:val="22"/>
          <w:szCs w:val="22"/>
        </w:rPr>
      </w:pPr>
      <w:r w:rsidRPr="00AD53B9">
        <w:rPr>
          <w:rFonts w:ascii="Arial" w:hAnsi="Arial" w:cs="Arial"/>
          <w:bCs/>
          <w:sz w:val="22"/>
          <w:szCs w:val="22"/>
        </w:rPr>
        <w:t xml:space="preserve">Hull York Medical School is committed to transforming the health of people within the region and beyond – through its students, staff and the impact of its teaching and research. </w:t>
      </w:r>
    </w:p>
    <w:p w14:paraId="7973FC05" w14:textId="77777777" w:rsidR="00F75B9C" w:rsidRPr="00AD53B9" w:rsidRDefault="00F75B9C" w:rsidP="00F75B9C">
      <w:pPr>
        <w:spacing w:after="240"/>
        <w:ind w:right="-82"/>
        <w:rPr>
          <w:rFonts w:ascii="Arial" w:hAnsi="Arial" w:cs="Arial"/>
          <w:bCs/>
          <w:sz w:val="22"/>
          <w:szCs w:val="22"/>
        </w:rPr>
      </w:pPr>
      <w:r w:rsidRPr="00AD53B9">
        <w:rPr>
          <w:rFonts w:ascii="Arial" w:hAnsi="Arial" w:cs="Arial"/>
          <w:bCs/>
          <w:sz w:val="22"/>
          <w:szCs w:val="22"/>
        </w:rPr>
        <w:t xml:space="preserve">The joint medical school of the Universities of Hull and York, Hull York Medical School has a reputation as one of the UKs most exciting, contemporary schools. The </w:t>
      </w:r>
      <w:proofErr w:type="gramStart"/>
      <w:r w:rsidRPr="00AD53B9">
        <w:rPr>
          <w:rFonts w:ascii="Arial" w:hAnsi="Arial" w:cs="Arial"/>
          <w:bCs/>
          <w:sz w:val="22"/>
          <w:szCs w:val="22"/>
        </w:rPr>
        <w:t>School</w:t>
      </w:r>
      <w:proofErr w:type="gramEnd"/>
      <w:r w:rsidRPr="00AD53B9">
        <w:rPr>
          <w:rFonts w:ascii="Arial" w:hAnsi="Arial" w:cs="Arial"/>
          <w:bCs/>
          <w:sz w:val="22"/>
          <w:szCs w:val="22"/>
        </w:rPr>
        <w:t xml:space="preserve"> was established in 2003 – combining York’s strength in biological sciences and health sciences and Hull’s expertise in clinically applied health research and large clinical base. Since then, has been inspiring doctors and academic leaders of the future with the research, </w:t>
      </w:r>
      <w:proofErr w:type="gramStart"/>
      <w:r w:rsidRPr="00AD53B9">
        <w:rPr>
          <w:rFonts w:ascii="Arial" w:hAnsi="Arial" w:cs="Arial"/>
          <w:bCs/>
          <w:sz w:val="22"/>
          <w:szCs w:val="22"/>
        </w:rPr>
        <w:t>skills</w:t>
      </w:r>
      <w:proofErr w:type="gramEnd"/>
      <w:r w:rsidRPr="00AD53B9">
        <w:rPr>
          <w:rFonts w:ascii="Arial" w:hAnsi="Arial" w:cs="Arial"/>
          <w:bCs/>
          <w:sz w:val="22"/>
          <w:szCs w:val="22"/>
        </w:rPr>
        <w:t xml:space="preserve"> and knowledge they need to look at things differently and advance improvements in healthcare around the world.</w:t>
      </w:r>
    </w:p>
    <w:p w14:paraId="71985216" w14:textId="77777777" w:rsidR="00F75B9C" w:rsidRPr="00AD53B9" w:rsidRDefault="00F75B9C" w:rsidP="00F75B9C">
      <w:pPr>
        <w:spacing w:after="240"/>
        <w:ind w:right="-82"/>
        <w:rPr>
          <w:rFonts w:ascii="Arial" w:hAnsi="Arial" w:cs="Arial"/>
          <w:bCs/>
          <w:sz w:val="22"/>
          <w:szCs w:val="22"/>
        </w:rPr>
      </w:pPr>
      <w:r w:rsidRPr="00AD53B9">
        <w:rPr>
          <w:rFonts w:ascii="Arial" w:hAnsi="Arial" w:cs="Arial"/>
          <w:bCs/>
          <w:sz w:val="22"/>
          <w:szCs w:val="22"/>
        </w:rPr>
        <w:t xml:space="preserve">Equality, diversity and inclusion are extremely important to the </w:t>
      </w:r>
      <w:proofErr w:type="gramStart"/>
      <w:r w:rsidRPr="00AD53B9">
        <w:rPr>
          <w:rFonts w:ascii="Arial" w:hAnsi="Arial" w:cs="Arial"/>
          <w:bCs/>
          <w:sz w:val="22"/>
          <w:szCs w:val="22"/>
        </w:rPr>
        <w:t>School</w:t>
      </w:r>
      <w:proofErr w:type="gramEnd"/>
      <w:r w:rsidRPr="00AD53B9">
        <w:rPr>
          <w:rFonts w:ascii="Arial" w:hAnsi="Arial" w:cs="Arial"/>
          <w:bCs/>
          <w:sz w:val="22"/>
          <w:szCs w:val="22"/>
        </w:rPr>
        <w:t xml:space="preserve">, and in line with its values of everyone counts, pursuing excellence, socially responsible and collaborative, it is committed to providing an inclusive and supportive environment for staff and students. The </w:t>
      </w:r>
      <w:proofErr w:type="gramStart"/>
      <w:r w:rsidRPr="00AD53B9">
        <w:rPr>
          <w:rFonts w:ascii="Arial" w:hAnsi="Arial" w:cs="Arial"/>
          <w:bCs/>
          <w:sz w:val="22"/>
          <w:szCs w:val="22"/>
        </w:rPr>
        <w:t>School</w:t>
      </w:r>
      <w:proofErr w:type="gramEnd"/>
      <w:r w:rsidRPr="00AD53B9">
        <w:rPr>
          <w:rFonts w:ascii="Arial" w:hAnsi="Arial" w:cs="Arial"/>
          <w:bCs/>
          <w:sz w:val="22"/>
          <w:szCs w:val="22"/>
        </w:rPr>
        <w:t xml:space="preserve"> was awarded the Athena Swann Silver Award in 2019, has signed up to the UK Medical School’s Charter on So-Called ‘Conversion Therapy’ and the British Medical Association (BMA) racial harassment charter. </w:t>
      </w:r>
    </w:p>
    <w:p w14:paraId="7B920302" w14:textId="77777777" w:rsidR="00F75B9C" w:rsidRPr="00AD53B9" w:rsidRDefault="00F75B9C" w:rsidP="00F75B9C">
      <w:pPr>
        <w:spacing w:after="240"/>
        <w:ind w:right="-82"/>
        <w:rPr>
          <w:rFonts w:ascii="Arial" w:hAnsi="Arial" w:cs="Arial"/>
          <w:b/>
          <w:sz w:val="22"/>
          <w:szCs w:val="22"/>
        </w:rPr>
      </w:pPr>
      <w:r w:rsidRPr="00AD53B9">
        <w:rPr>
          <w:rFonts w:ascii="Arial" w:hAnsi="Arial" w:cs="Arial"/>
          <w:b/>
          <w:sz w:val="22"/>
          <w:szCs w:val="22"/>
        </w:rPr>
        <w:t>Inspiring doctors and academic leaders of the future</w:t>
      </w:r>
    </w:p>
    <w:p w14:paraId="2B8A6F05" w14:textId="77777777" w:rsidR="00F75B9C" w:rsidRPr="00AD53B9" w:rsidRDefault="00F75B9C" w:rsidP="00F75B9C">
      <w:pPr>
        <w:spacing w:after="240"/>
        <w:ind w:right="-82"/>
        <w:rPr>
          <w:rFonts w:ascii="Arial" w:hAnsi="Arial" w:cs="Arial"/>
          <w:bCs/>
          <w:sz w:val="22"/>
          <w:szCs w:val="22"/>
        </w:rPr>
      </w:pPr>
      <w:r w:rsidRPr="00AD53B9">
        <w:rPr>
          <w:rFonts w:ascii="Arial" w:hAnsi="Arial" w:cs="Arial"/>
          <w:bCs/>
          <w:sz w:val="22"/>
          <w:szCs w:val="22"/>
        </w:rPr>
        <w:t>Hull York Medical School offers exceptional medical education delivered by senior academics and clinicians in a stimulating and supportive environment with world-class facilities.</w:t>
      </w:r>
    </w:p>
    <w:p w14:paraId="78D1E010" w14:textId="77777777" w:rsidR="00F75B9C" w:rsidRPr="00AD53B9" w:rsidRDefault="00F75B9C" w:rsidP="00F75B9C">
      <w:pPr>
        <w:spacing w:after="240"/>
        <w:ind w:right="-82"/>
        <w:rPr>
          <w:rFonts w:ascii="Arial" w:hAnsi="Arial" w:cs="Arial"/>
          <w:bCs/>
          <w:sz w:val="22"/>
          <w:szCs w:val="22"/>
        </w:rPr>
      </w:pPr>
      <w:r w:rsidRPr="00AD53B9">
        <w:rPr>
          <w:rFonts w:ascii="Arial" w:hAnsi="Arial" w:cs="Arial"/>
          <w:bCs/>
          <w:sz w:val="22"/>
          <w:szCs w:val="22"/>
        </w:rPr>
        <w:t>Postgraduate research students benefit from a thriving research community and the opportunity to learn from world leading experts who are internationally recognised for their work.</w:t>
      </w:r>
    </w:p>
    <w:p w14:paraId="268DD06F" w14:textId="77777777" w:rsidR="00F75B9C" w:rsidRPr="00AD53B9" w:rsidRDefault="00F75B9C" w:rsidP="00F75B9C">
      <w:pPr>
        <w:spacing w:after="240"/>
        <w:ind w:right="-82"/>
        <w:rPr>
          <w:rFonts w:ascii="Arial" w:hAnsi="Arial" w:cs="Arial"/>
          <w:bCs/>
          <w:sz w:val="22"/>
          <w:szCs w:val="22"/>
        </w:rPr>
      </w:pPr>
      <w:r w:rsidRPr="00AD53B9">
        <w:rPr>
          <w:rFonts w:ascii="Arial" w:hAnsi="Arial" w:cs="Arial"/>
          <w:bCs/>
          <w:sz w:val="22"/>
          <w:szCs w:val="22"/>
        </w:rPr>
        <w:t xml:space="preserve">Hull York Medical School facilities at Hull and York offer a stimulating environment in which to learn. The Allam Medical Building at the heart of the University of Hull’s £28million Health Campus is home to Hull York Medical School in Hull. Opened in 2017 by Her Majesty the Queen, the Allam Medical Building provides specialised teaching facilities including a simulated ward, operating </w:t>
      </w:r>
      <w:proofErr w:type="gramStart"/>
      <w:r w:rsidRPr="00AD53B9">
        <w:rPr>
          <w:rFonts w:ascii="Arial" w:hAnsi="Arial" w:cs="Arial"/>
          <w:bCs/>
          <w:sz w:val="22"/>
          <w:szCs w:val="22"/>
        </w:rPr>
        <w:t>theatre</w:t>
      </w:r>
      <w:proofErr w:type="gramEnd"/>
      <w:r w:rsidRPr="00AD53B9">
        <w:rPr>
          <w:rFonts w:ascii="Arial" w:hAnsi="Arial" w:cs="Arial"/>
          <w:bCs/>
          <w:sz w:val="22"/>
          <w:szCs w:val="22"/>
        </w:rPr>
        <w:t xml:space="preserve"> and intensive care nursing facilities, and provides opportunities for medical students to work alongside, nursing, midwifery and allied health undergraduates, as well as PhD students, advanced nurse practitioners and physician’s associates. </w:t>
      </w:r>
    </w:p>
    <w:p w14:paraId="2981E74D" w14:textId="77777777" w:rsidR="00F75B9C" w:rsidRPr="00AD53B9" w:rsidRDefault="00F75B9C" w:rsidP="00F75B9C">
      <w:pPr>
        <w:spacing w:after="240"/>
        <w:ind w:right="-82"/>
        <w:rPr>
          <w:rFonts w:ascii="Arial" w:hAnsi="Arial" w:cs="Arial"/>
          <w:b/>
          <w:sz w:val="22"/>
          <w:szCs w:val="22"/>
        </w:rPr>
      </w:pPr>
      <w:r w:rsidRPr="00AD53B9">
        <w:rPr>
          <w:rFonts w:ascii="Arial" w:hAnsi="Arial" w:cs="Arial"/>
          <w:b/>
          <w:sz w:val="22"/>
          <w:szCs w:val="22"/>
        </w:rPr>
        <w:t>A partnership for people who want to make a difference</w:t>
      </w:r>
    </w:p>
    <w:p w14:paraId="672C24BB" w14:textId="77777777" w:rsidR="00F75B9C" w:rsidRPr="00AD53B9" w:rsidRDefault="00F75B9C" w:rsidP="00F75B9C">
      <w:pPr>
        <w:spacing w:after="240"/>
        <w:ind w:right="-82"/>
        <w:rPr>
          <w:rFonts w:ascii="Arial" w:hAnsi="Arial" w:cs="Arial"/>
          <w:bCs/>
          <w:sz w:val="22"/>
          <w:szCs w:val="22"/>
        </w:rPr>
      </w:pPr>
      <w:r w:rsidRPr="00AD53B9">
        <w:rPr>
          <w:rFonts w:ascii="Arial" w:hAnsi="Arial" w:cs="Arial"/>
          <w:bCs/>
          <w:sz w:val="22"/>
          <w:szCs w:val="22"/>
        </w:rPr>
        <w:t xml:space="preserve">Academic and clinical researchers at Hull York Medical School have a strong reputation for their work. Their research is advancing improvements in healthcare – treatment, </w:t>
      </w:r>
      <w:proofErr w:type="gramStart"/>
      <w:r w:rsidRPr="00AD53B9">
        <w:rPr>
          <w:rFonts w:ascii="Arial" w:hAnsi="Arial" w:cs="Arial"/>
          <w:bCs/>
          <w:sz w:val="22"/>
          <w:szCs w:val="22"/>
        </w:rPr>
        <w:t>diagnosis</w:t>
      </w:r>
      <w:proofErr w:type="gramEnd"/>
      <w:r w:rsidRPr="00AD53B9">
        <w:rPr>
          <w:rFonts w:ascii="Arial" w:hAnsi="Arial" w:cs="Arial"/>
          <w:bCs/>
          <w:sz w:val="22"/>
          <w:szCs w:val="22"/>
        </w:rPr>
        <w:t xml:space="preserve"> and care – for some of the major global health challenges of today. At Hull, the School’s researchers are at the forefront of health research, from the early diagnosis of cancer, to reducing inequalities in access to treatment and improving the lives of those with life-limiting illnesses. This work is improving the health of people locally and impacting national and international health agendas. At York, the School’s researchers have a global reputation for their work. From scientific discoveries that underpin the development, </w:t>
      </w:r>
      <w:proofErr w:type="gramStart"/>
      <w:r w:rsidRPr="00AD53B9">
        <w:rPr>
          <w:rFonts w:ascii="Arial" w:hAnsi="Arial" w:cs="Arial"/>
          <w:bCs/>
          <w:sz w:val="22"/>
          <w:szCs w:val="22"/>
        </w:rPr>
        <w:t>diagnosis</w:t>
      </w:r>
      <w:proofErr w:type="gramEnd"/>
      <w:r w:rsidRPr="00AD53B9">
        <w:rPr>
          <w:rFonts w:ascii="Arial" w:hAnsi="Arial" w:cs="Arial"/>
          <w:bCs/>
          <w:sz w:val="22"/>
          <w:szCs w:val="22"/>
        </w:rPr>
        <w:t xml:space="preserve"> and treatment of the world’s most aggressive diseases, to mental health research which addresses the needs of a wider variety of patients and helps to identify, treat and support them, this work is casting new light and impacting public health globally.</w:t>
      </w:r>
    </w:p>
    <w:p w14:paraId="6A212B32" w14:textId="65ED99A4" w:rsidR="00F13676" w:rsidRPr="00AD53B9" w:rsidRDefault="00F13676" w:rsidP="00F75B9C">
      <w:pPr>
        <w:spacing w:after="240"/>
        <w:ind w:right="-82"/>
        <w:rPr>
          <w:rFonts w:ascii="Arial" w:eastAsiaTheme="majorEastAsia" w:hAnsi="Arial" w:cs="Arial"/>
          <w:b/>
          <w:bCs/>
          <w:color w:val="A00054"/>
          <w:sz w:val="22"/>
          <w:szCs w:val="22"/>
        </w:rPr>
      </w:pPr>
      <w:r w:rsidRPr="00AD53B9">
        <w:rPr>
          <w:rFonts w:ascii="Arial" w:eastAsiaTheme="majorEastAsia" w:hAnsi="Arial" w:cs="Arial"/>
          <w:b/>
          <w:bCs/>
          <w:color w:val="A00054"/>
          <w:sz w:val="22"/>
          <w:szCs w:val="22"/>
        </w:rPr>
        <w:t xml:space="preserve">Further particulars – </w:t>
      </w:r>
      <w:r w:rsidR="001F50F4" w:rsidRPr="00AD53B9">
        <w:rPr>
          <w:rFonts w:ascii="Arial" w:eastAsiaTheme="majorEastAsia" w:hAnsi="Arial" w:cs="Arial"/>
          <w:b/>
          <w:bCs/>
          <w:color w:val="A00054"/>
          <w:sz w:val="22"/>
          <w:szCs w:val="22"/>
        </w:rPr>
        <w:t>Core Surgical Training</w:t>
      </w:r>
    </w:p>
    <w:p w14:paraId="49CF0594" w14:textId="083FF197" w:rsidR="001F50F4" w:rsidRPr="00AD53B9" w:rsidRDefault="001F50F4" w:rsidP="00D92400">
      <w:pPr>
        <w:spacing w:after="240"/>
        <w:ind w:right="-82"/>
        <w:rPr>
          <w:rFonts w:ascii="Arial" w:hAnsi="Arial" w:cs="Arial"/>
          <w:bCs/>
          <w:sz w:val="22"/>
          <w:szCs w:val="22"/>
        </w:rPr>
      </w:pPr>
      <w:r w:rsidRPr="00AD53B9">
        <w:rPr>
          <w:rFonts w:ascii="Arial" w:hAnsi="Arial" w:cs="Arial"/>
          <w:bCs/>
          <w:sz w:val="22"/>
          <w:szCs w:val="22"/>
        </w:rPr>
        <w:t xml:space="preserve">The core surgical training programme follows the ISCP curriculum which includes generic skills applicable to all surgeons and prepares trainees for their choice of specialty. This is a run through training post and accordingly core surgical competencies should be acquired within the clinical placements organised for this post. </w:t>
      </w:r>
      <w:r w:rsidR="008D3078" w:rsidRPr="00AD53B9">
        <w:rPr>
          <w:rFonts w:ascii="Arial" w:hAnsi="Arial" w:cs="Arial"/>
          <w:bCs/>
          <w:sz w:val="22"/>
          <w:szCs w:val="22"/>
        </w:rPr>
        <w:t>Rotations are generally organised around one of the three sub-regions (West, East, or South). It is intended that the placements for this post will be within North Yorkshire, however trainees may rotate throughout the region if required by the Training Programme Directors.</w:t>
      </w:r>
    </w:p>
    <w:p w14:paraId="025437F8" w14:textId="77777777" w:rsidR="008D3078" w:rsidRPr="00AD53B9" w:rsidRDefault="008D3078" w:rsidP="008D3078">
      <w:pPr>
        <w:spacing w:after="150"/>
        <w:rPr>
          <w:rFonts w:ascii="Arial" w:hAnsi="Arial" w:cs="Arial"/>
          <w:bCs/>
          <w:sz w:val="22"/>
          <w:szCs w:val="22"/>
        </w:rPr>
      </w:pPr>
      <w:r w:rsidRPr="00AD53B9">
        <w:rPr>
          <w:rFonts w:ascii="Arial" w:hAnsi="Arial" w:cs="Arial"/>
          <w:bCs/>
          <w:sz w:val="22"/>
          <w:szCs w:val="22"/>
        </w:rPr>
        <w:lastRenderedPageBreak/>
        <w:t>The following hospitals are included on the Core Surgery rotation:</w:t>
      </w:r>
    </w:p>
    <w:tbl>
      <w:tblPr>
        <w:tblW w:w="11580" w:type="dxa"/>
        <w:tblInd w:w="-908" w:type="dxa"/>
        <w:tblCellMar>
          <w:top w:w="40" w:type="dxa"/>
          <w:left w:w="40" w:type="dxa"/>
          <w:bottom w:w="40" w:type="dxa"/>
          <w:right w:w="40" w:type="dxa"/>
        </w:tblCellMar>
        <w:tblLook w:val="04A0" w:firstRow="1" w:lastRow="0" w:firstColumn="1" w:lastColumn="0" w:noHBand="0" w:noVBand="1"/>
      </w:tblPr>
      <w:tblGrid>
        <w:gridCol w:w="3093"/>
        <w:gridCol w:w="3715"/>
        <w:gridCol w:w="4772"/>
      </w:tblGrid>
      <w:tr w:rsidR="008D3078" w:rsidRPr="00AD53B9" w14:paraId="6BC59E66" w14:textId="77777777" w:rsidTr="00AD53B9">
        <w:tc>
          <w:tcPr>
            <w:tcW w:w="3093" w:type="dxa"/>
            <w:shd w:val="clear" w:color="auto" w:fill="auto"/>
            <w:tcMar>
              <w:top w:w="0" w:type="dxa"/>
              <w:left w:w="0" w:type="dxa"/>
              <w:bottom w:w="0" w:type="dxa"/>
              <w:right w:w="0" w:type="dxa"/>
            </w:tcMar>
            <w:vAlign w:val="center"/>
            <w:hideMark/>
          </w:tcPr>
          <w:p w14:paraId="73F3D27F"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West</w:t>
            </w:r>
          </w:p>
        </w:tc>
        <w:tc>
          <w:tcPr>
            <w:tcW w:w="3715" w:type="dxa"/>
            <w:shd w:val="clear" w:color="auto" w:fill="auto"/>
            <w:tcMar>
              <w:top w:w="0" w:type="dxa"/>
              <w:left w:w="0" w:type="dxa"/>
              <w:bottom w:w="0" w:type="dxa"/>
              <w:right w:w="0" w:type="dxa"/>
            </w:tcMar>
            <w:vAlign w:val="center"/>
            <w:hideMark/>
          </w:tcPr>
          <w:p w14:paraId="6BDF5530"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South</w:t>
            </w:r>
          </w:p>
        </w:tc>
        <w:tc>
          <w:tcPr>
            <w:tcW w:w="4772" w:type="dxa"/>
            <w:shd w:val="clear" w:color="auto" w:fill="auto"/>
            <w:tcMar>
              <w:top w:w="0" w:type="dxa"/>
              <w:left w:w="0" w:type="dxa"/>
              <w:bottom w:w="0" w:type="dxa"/>
              <w:right w:w="0" w:type="dxa"/>
            </w:tcMar>
            <w:vAlign w:val="center"/>
            <w:hideMark/>
          </w:tcPr>
          <w:p w14:paraId="71D3F75D"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East</w:t>
            </w:r>
          </w:p>
        </w:tc>
      </w:tr>
      <w:tr w:rsidR="008D3078" w:rsidRPr="00AD53B9" w14:paraId="52A6165A" w14:textId="77777777" w:rsidTr="00AD53B9">
        <w:tc>
          <w:tcPr>
            <w:tcW w:w="3093" w:type="dxa"/>
            <w:shd w:val="clear" w:color="auto" w:fill="auto"/>
            <w:tcMar>
              <w:top w:w="0" w:type="dxa"/>
              <w:left w:w="0" w:type="dxa"/>
              <w:bottom w:w="0" w:type="dxa"/>
              <w:right w:w="0" w:type="dxa"/>
            </w:tcMar>
            <w:vAlign w:val="center"/>
            <w:hideMark/>
          </w:tcPr>
          <w:p w14:paraId="175A9363"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Airedale General Hospital</w:t>
            </w:r>
          </w:p>
        </w:tc>
        <w:tc>
          <w:tcPr>
            <w:tcW w:w="3715" w:type="dxa"/>
            <w:shd w:val="clear" w:color="auto" w:fill="auto"/>
            <w:tcMar>
              <w:top w:w="0" w:type="dxa"/>
              <w:left w:w="0" w:type="dxa"/>
              <w:bottom w:w="0" w:type="dxa"/>
              <w:right w:w="0" w:type="dxa"/>
            </w:tcMar>
            <w:vAlign w:val="center"/>
            <w:hideMark/>
          </w:tcPr>
          <w:p w14:paraId="08D4F8D6"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Barnsley General Hospital</w:t>
            </w:r>
          </w:p>
        </w:tc>
        <w:tc>
          <w:tcPr>
            <w:tcW w:w="4772" w:type="dxa"/>
            <w:shd w:val="clear" w:color="auto" w:fill="auto"/>
            <w:tcMar>
              <w:top w:w="0" w:type="dxa"/>
              <w:left w:w="0" w:type="dxa"/>
              <w:bottom w:w="0" w:type="dxa"/>
              <w:right w:w="0" w:type="dxa"/>
            </w:tcMar>
            <w:vAlign w:val="center"/>
            <w:hideMark/>
          </w:tcPr>
          <w:p w14:paraId="6D5AE23C"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Castle Hill Hospital</w:t>
            </w:r>
          </w:p>
        </w:tc>
      </w:tr>
      <w:tr w:rsidR="008D3078" w:rsidRPr="00AD53B9" w14:paraId="5F0FB4C8" w14:textId="77777777" w:rsidTr="00AD53B9">
        <w:tc>
          <w:tcPr>
            <w:tcW w:w="3093" w:type="dxa"/>
            <w:shd w:val="clear" w:color="auto" w:fill="auto"/>
            <w:tcMar>
              <w:top w:w="0" w:type="dxa"/>
              <w:left w:w="0" w:type="dxa"/>
              <w:bottom w:w="0" w:type="dxa"/>
              <w:right w:w="0" w:type="dxa"/>
            </w:tcMar>
            <w:vAlign w:val="center"/>
            <w:hideMark/>
          </w:tcPr>
          <w:p w14:paraId="48B44C97"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Bradford Royal Infirmary</w:t>
            </w:r>
          </w:p>
        </w:tc>
        <w:tc>
          <w:tcPr>
            <w:tcW w:w="3715" w:type="dxa"/>
            <w:shd w:val="clear" w:color="auto" w:fill="auto"/>
            <w:tcMar>
              <w:top w:w="0" w:type="dxa"/>
              <w:left w:w="0" w:type="dxa"/>
              <w:bottom w:w="0" w:type="dxa"/>
              <w:right w:w="0" w:type="dxa"/>
            </w:tcMar>
            <w:vAlign w:val="center"/>
            <w:hideMark/>
          </w:tcPr>
          <w:p w14:paraId="47EB2B26"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Doncaster Royal Infirmary</w:t>
            </w:r>
          </w:p>
        </w:tc>
        <w:tc>
          <w:tcPr>
            <w:tcW w:w="4772" w:type="dxa"/>
            <w:shd w:val="clear" w:color="auto" w:fill="auto"/>
            <w:tcMar>
              <w:top w:w="0" w:type="dxa"/>
              <w:left w:w="0" w:type="dxa"/>
              <w:bottom w:w="0" w:type="dxa"/>
              <w:right w:w="0" w:type="dxa"/>
            </w:tcMar>
            <w:vAlign w:val="center"/>
            <w:hideMark/>
          </w:tcPr>
          <w:p w14:paraId="23E33908"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Hull Royal Infirmary</w:t>
            </w:r>
          </w:p>
        </w:tc>
      </w:tr>
      <w:tr w:rsidR="008D3078" w:rsidRPr="00AD53B9" w14:paraId="17D3C9CC" w14:textId="77777777" w:rsidTr="00AD53B9">
        <w:tc>
          <w:tcPr>
            <w:tcW w:w="3093" w:type="dxa"/>
            <w:shd w:val="clear" w:color="auto" w:fill="auto"/>
            <w:tcMar>
              <w:top w:w="0" w:type="dxa"/>
              <w:left w:w="0" w:type="dxa"/>
              <w:bottom w:w="0" w:type="dxa"/>
              <w:right w:w="0" w:type="dxa"/>
            </w:tcMar>
            <w:vAlign w:val="center"/>
            <w:hideMark/>
          </w:tcPr>
          <w:p w14:paraId="7897446E"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Calderdale Royal Hospital</w:t>
            </w:r>
          </w:p>
        </w:tc>
        <w:tc>
          <w:tcPr>
            <w:tcW w:w="3715" w:type="dxa"/>
            <w:shd w:val="clear" w:color="auto" w:fill="auto"/>
            <w:tcMar>
              <w:top w:w="0" w:type="dxa"/>
              <w:left w:w="0" w:type="dxa"/>
              <w:bottom w:w="0" w:type="dxa"/>
              <w:right w:w="0" w:type="dxa"/>
            </w:tcMar>
            <w:vAlign w:val="center"/>
            <w:hideMark/>
          </w:tcPr>
          <w:p w14:paraId="5E291FC1"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Northern General Hospital, Sheffield</w:t>
            </w:r>
          </w:p>
        </w:tc>
        <w:tc>
          <w:tcPr>
            <w:tcW w:w="4772" w:type="dxa"/>
            <w:shd w:val="clear" w:color="auto" w:fill="auto"/>
            <w:tcMar>
              <w:top w:w="0" w:type="dxa"/>
              <w:left w:w="0" w:type="dxa"/>
              <w:bottom w:w="0" w:type="dxa"/>
              <w:right w:w="0" w:type="dxa"/>
            </w:tcMar>
            <w:vAlign w:val="center"/>
            <w:hideMark/>
          </w:tcPr>
          <w:p w14:paraId="6AB40940"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Diana, Princess of Wales Hospital, Grimsby</w:t>
            </w:r>
          </w:p>
        </w:tc>
      </w:tr>
      <w:tr w:rsidR="008D3078" w:rsidRPr="00AD53B9" w14:paraId="080C7A9A" w14:textId="77777777" w:rsidTr="00AD53B9">
        <w:tc>
          <w:tcPr>
            <w:tcW w:w="3093" w:type="dxa"/>
            <w:shd w:val="clear" w:color="auto" w:fill="auto"/>
            <w:tcMar>
              <w:top w:w="0" w:type="dxa"/>
              <w:left w:w="0" w:type="dxa"/>
              <w:bottom w:w="0" w:type="dxa"/>
              <w:right w:w="0" w:type="dxa"/>
            </w:tcMar>
            <w:vAlign w:val="center"/>
            <w:hideMark/>
          </w:tcPr>
          <w:p w14:paraId="32F16004"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Huddersfield Royal Infirmary</w:t>
            </w:r>
          </w:p>
        </w:tc>
        <w:tc>
          <w:tcPr>
            <w:tcW w:w="3715" w:type="dxa"/>
            <w:shd w:val="clear" w:color="auto" w:fill="auto"/>
            <w:tcMar>
              <w:top w:w="0" w:type="dxa"/>
              <w:left w:w="0" w:type="dxa"/>
              <w:bottom w:w="0" w:type="dxa"/>
              <w:right w:w="0" w:type="dxa"/>
            </w:tcMar>
            <w:vAlign w:val="center"/>
            <w:hideMark/>
          </w:tcPr>
          <w:p w14:paraId="70FD492D"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Royal Hallamshire Hospital, Sheffield </w:t>
            </w:r>
          </w:p>
        </w:tc>
        <w:tc>
          <w:tcPr>
            <w:tcW w:w="4772" w:type="dxa"/>
            <w:shd w:val="clear" w:color="auto" w:fill="auto"/>
            <w:tcMar>
              <w:top w:w="0" w:type="dxa"/>
              <w:left w:w="0" w:type="dxa"/>
              <w:bottom w:w="0" w:type="dxa"/>
              <w:right w:w="0" w:type="dxa"/>
            </w:tcMar>
            <w:vAlign w:val="center"/>
            <w:hideMark/>
          </w:tcPr>
          <w:p w14:paraId="3FED2761"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Scunthorpe General Hospital</w:t>
            </w:r>
          </w:p>
        </w:tc>
      </w:tr>
      <w:tr w:rsidR="008D3078" w:rsidRPr="00AD53B9" w14:paraId="30E39D17" w14:textId="77777777" w:rsidTr="00AD53B9">
        <w:tc>
          <w:tcPr>
            <w:tcW w:w="3093" w:type="dxa"/>
            <w:shd w:val="clear" w:color="auto" w:fill="auto"/>
            <w:tcMar>
              <w:top w:w="0" w:type="dxa"/>
              <w:left w:w="0" w:type="dxa"/>
              <w:bottom w:w="0" w:type="dxa"/>
              <w:right w:w="0" w:type="dxa"/>
            </w:tcMar>
            <w:vAlign w:val="center"/>
            <w:hideMark/>
          </w:tcPr>
          <w:p w14:paraId="61C8088F"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Harrogate District Hospital</w:t>
            </w:r>
          </w:p>
        </w:tc>
        <w:tc>
          <w:tcPr>
            <w:tcW w:w="3715" w:type="dxa"/>
            <w:shd w:val="clear" w:color="auto" w:fill="auto"/>
            <w:tcMar>
              <w:top w:w="0" w:type="dxa"/>
              <w:left w:w="0" w:type="dxa"/>
              <w:bottom w:w="0" w:type="dxa"/>
              <w:right w:w="0" w:type="dxa"/>
            </w:tcMar>
            <w:vAlign w:val="center"/>
            <w:hideMark/>
          </w:tcPr>
          <w:p w14:paraId="51FD5301"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Rotherham General Hospital</w:t>
            </w:r>
          </w:p>
        </w:tc>
        <w:tc>
          <w:tcPr>
            <w:tcW w:w="4772" w:type="dxa"/>
            <w:shd w:val="clear" w:color="auto" w:fill="auto"/>
            <w:tcMar>
              <w:top w:w="0" w:type="dxa"/>
              <w:left w:w="0" w:type="dxa"/>
              <w:bottom w:w="0" w:type="dxa"/>
              <w:right w:w="0" w:type="dxa"/>
            </w:tcMar>
            <w:vAlign w:val="center"/>
            <w:hideMark/>
          </w:tcPr>
          <w:p w14:paraId="7E662D45"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Scarborough General Hospital</w:t>
            </w:r>
          </w:p>
        </w:tc>
      </w:tr>
      <w:tr w:rsidR="008D3078" w:rsidRPr="00AD53B9" w14:paraId="2BB7EBC5" w14:textId="77777777" w:rsidTr="00AD53B9">
        <w:tc>
          <w:tcPr>
            <w:tcW w:w="3093" w:type="dxa"/>
            <w:shd w:val="clear" w:color="auto" w:fill="auto"/>
            <w:tcMar>
              <w:top w:w="0" w:type="dxa"/>
              <w:left w:w="0" w:type="dxa"/>
              <w:bottom w:w="0" w:type="dxa"/>
              <w:right w:w="0" w:type="dxa"/>
            </w:tcMar>
            <w:vAlign w:val="center"/>
            <w:hideMark/>
          </w:tcPr>
          <w:p w14:paraId="270E39EC"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Leeds General Infirmary</w:t>
            </w:r>
          </w:p>
        </w:tc>
        <w:tc>
          <w:tcPr>
            <w:tcW w:w="3715" w:type="dxa"/>
            <w:shd w:val="clear" w:color="auto" w:fill="auto"/>
            <w:tcMar>
              <w:top w:w="0" w:type="dxa"/>
              <w:left w:w="0" w:type="dxa"/>
              <w:bottom w:w="0" w:type="dxa"/>
              <w:right w:w="0" w:type="dxa"/>
            </w:tcMar>
            <w:vAlign w:val="center"/>
            <w:hideMark/>
          </w:tcPr>
          <w:p w14:paraId="67D0DFE9"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Sheffield Children's Hospital</w:t>
            </w:r>
          </w:p>
        </w:tc>
        <w:tc>
          <w:tcPr>
            <w:tcW w:w="4772" w:type="dxa"/>
            <w:shd w:val="clear" w:color="auto" w:fill="auto"/>
            <w:tcMar>
              <w:top w:w="0" w:type="dxa"/>
              <w:left w:w="0" w:type="dxa"/>
              <w:bottom w:w="0" w:type="dxa"/>
              <w:right w:w="0" w:type="dxa"/>
            </w:tcMar>
            <w:vAlign w:val="center"/>
            <w:hideMark/>
          </w:tcPr>
          <w:p w14:paraId="532ACAEE"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York District Hospital</w:t>
            </w:r>
          </w:p>
        </w:tc>
      </w:tr>
      <w:tr w:rsidR="008D3078" w:rsidRPr="00AD53B9" w14:paraId="5B1DB87F" w14:textId="77777777" w:rsidTr="00AD53B9">
        <w:tc>
          <w:tcPr>
            <w:tcW w:w="3093" w:type="dxa"/>
            <w:shd w:val="clear" w:color="auto" w:fill="auto"/>
            <w:tcMar>
              <w:top w:w="0" w:type="dxa"/>
              <w:left w:w="0" w:type="dxa"/>
              <w:bottom w:w="0" w:type="dxa"/>
              <w:right w:w="0" w:type="dxa"/>
            </w:tcMar>
            <w:vAlign w:val="center"/>
            <w:hideMark/>
          </w:tcPr>
          <w:p w14:paraId="49DCC034"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St James' University Hospital</w:t>
            </w:r>
          </w:p>
        </w:tc>
        <w:tc>
          <w:tcPr>
            <w:tcW w:w="3715" w:type="dxa"/>
            <w:shd w:val="clear" w:color="auto" w:fill="auto"/>
            <w:tcMar>
              <w:top w:w="0" w:type="dxa"/>
              <w:left w:w="0" w:type="dxa"/>
              <w:bottom w:w="0" w:type="dxa"/>
              <w:right w:w="0" w:type="dxa"/>
            </w:tcMar>
            <w:vAlign w:val="center"/>
            <w:hideMark/>
          </w:tcPr>
          <w:p w14:paraId="34C66A5A"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 </w:t>
            </w:r>
          </w:p>
        </w:tc>
        <w:tc>
          <w:tcPr>
            <w:tcW w:w="4772" w:type="dxa"/>
            <w:shd w:val="clear" w:color="auto" w:fill="auto"/>
            <w:tcMar>
              <w:top w:w="0" w:type="dxa"/>
              <w:left w:w="0" w:type="dxa"/>
              <w:bottom w:w="0" w:type="dxa"/>
              <w:right w:w="0" w:type="dxa"/>
            </w:tcMar>
            <w:vAlign w:val="center"/>
            <w:hideMark/>
          </w:tcPr>
          <w:p w14:paraId="3AEAC1E8"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 </w:t>
            </w:r>
          </w:p>
        </w:tc>
      </w:tr>
      <w:tr w:rsidR="008D3078" w:rsidRPr="00AD53B9" w14:paraId="6D461A2A" w14:textId="77777777" w:rsidTr="00AD53B9">
        <w:tc>
          <w:tcPr>
            <w:tcW w:w="3093" w:type="dxa"/>
            <w:shd w:val="clear" w:color="auto" w:fill="auto"/>
            <w:tcMar>
              <w:top w:w="0" w:type="dxa"/>
              <w:left w:w="0" w:type="dxa"/>
              <w:bottom w:w="0" w:type="dxa"/>
              <w:right w:w="0" w:type="dxa"/>
            </w:tcMar>
            <w:vAlign w:val="center"/>
            <w:hideMark/>
          </w:tcPr>
          <w:p w14:paraId="1E3BCA76"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Dewsbury and District Hospital </w:t>
            </w:r>
          </w:p>
        </w:tc>
        <w:tc>
          <w:tcPr>
            <w:tcW w:w="3715" w:type="dxa"/>
            <w:shd w:val="clear" w:color="auto" w:fill="auto"/>
            <w:tcMar>
              <w:top w:w="0" w:type="dxa"/>
              <w:left w:w="0" w:type="dxa"/>
              <w:bottom w:w="0" w:type="dxa"/>
              <w:right w:w="0" w:type="dxa"/>
            </w:tcMar>
            <w:vAlign w:val="center"/>
            <w:hideMark/>
          </w:tcPr>
          <w:p w14:paraId="76D2E10A"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 </w:t>
            </w:r>
          </w:p>
        </w:tc>
        <w:tc>
          <w:tcPr>
            <w:tcW w:w="4772" w:type="dxa"/>
            <w:shd w:val="clear" w:color="auto" w:fill="auto"/>
            <w:tcMar>
              <w:top w:w="0" w:type="dxa"/>
              <w:left w:w="0" w:type="dxa"/>
              <w:bottom w:w="0" w:type="dxa"/>
              <w:right w:w="0" w:type="dxa"/>
            </w:tcMar>
            <w:vAlign w:val="center"/>
            <w:hideMark/>
          </w:tcPr>
          <w:p w14:paraId="1310241D"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 </w:t>
            </w:r>
          </w:p>
        </w:tc>
      </w:tr>
      <w:tr w:rsidR="008D3078" w:rsidRPr="00AD53B9" w14:paraId="5254075D" w14:textId="77777777" w:rsidTr="00AD53B9">
        <w:tc>
          <w:tcPr>
            <w:tcW w:w="3093" w:type="dxa"/>
            <w:shd w:val="clear" w:color="auto" w:fill="auto"/>
            <w:tcMar>
              <w:top w:w="0" w:type="dxa"/>
              <w:left w:w="0" w:type="dxa"/>
              <w:bottom w:w="0" w:type="dxa"/>
              <w:right w:w="0" w:type="dxa"/>
            </w:tcMar>
            <w:vAlign w:val="center"/>
            <w:hideMark/>
          </w:tcPr>
          <w:p w14:paraId="3566AEDA"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Pinderfields General Hospital</w:t>
            </w:r>
          </w:p>
        </w:tc>
        <w:tc>
          <w:tcPr>
            <w:tcW w:w="3715" w:type="dxa"/>
            <w:shd w:val="clear" w:color="auto" w:fill="auto"/>
            <w:tcMar>
              <w:top w:w="0" w:type="dxa"/>
              <w:left w:w="0" w:type="dxa"/>
              <w:bottom w:w="0" w:type="dxa"/>
              <w:right w:w="0" w:type="dxa"/>
            </w:tcMar>
            <w:vAlign w:val="center"/>
            <w:hideMark/>
          </w:tcPr>
          <w:p w14:paraId="3F4EA2C2" w14:textId="77777777" w:rsidR="008D3078" w:rsidRPr="00AD53B9" w:rsidRDefault="008D3078" w:rsidP="008D3078">
            <w:pPr>
              <w:rPr>
                <w:rFonts w:ascii="Arial" w:hAnsi="Arial" w:cs="Arial"/>
                <w:bCs/>
                <w:sz w:val="22"/>
                <w:szCs w:val="22"/>
              </w:rPr>
            </w:pPr>
            <w:r w:rsidRPr="00AD53B9">
              <w:rPr>
                <w:rFonts w:ascii="Arial" w:hAnsi="Arial" w:cs="Arial"/>
                <w:bCs/>
                <w:sz w:val="22"/>
                <w:szCs w:val="22"/>
              </w:rPr>
              <w:t> </w:t>
            </w:r>
          </w:p>
        </w:tc>
        <w:tc>
          <w:tcPr>
            <w:tcW w:w="0" w:type="auto"/>
            <w:shd w:val="clear" w:color="auto" w:fill="auto"/>
            <w:vAlign w:val="center"/>
            <w:hideMark/>
          </w:tcPr>
          <w:p w14:paraId="46C6C3D8" w14:textId="77777777" w:rsidR="008D3078" w:rsidRPr="00AD53B9" w:rsidRDefault="008D3078" w:rsidP="008D3078">
            <w:pPr>
              <w:rPr>
                <w:rFonts w:ascii="Arial" w:hAnsi="Arial" w:cs="Arial"/>
                <w:bCs/>
                <w:sz w:val="22"/>
                <w:szCs w:val="22"/>
              </w:rPr>
            </w:pPr>
          </w:p>
        </w:tc>
      </w:tr>
    </w:tbl>
    <w:p w14:paraId="311AF279" w14:textId="71D4E857" w:rsidR="008D3078" w:rsidRPr="00AD53B9" w:rsidRDefault="008D3078" w:rsidP="001F50F4">
      <w:pPr>
        <w:rPr>
          <w:rFonts w:ascii="Arial" w:hAnsi="Arial" w:cs="Arial"/>
          <w:bCs/>
          <w:sz w:val="22"/>
          <w:szCs w:val="22"/>
        </w:rPr>
      </w:pPr>
    </w:p>
    <w:p w14:paraId="0FE25063" w14:textId="4A1BD70B" w:rsidR="008D3078" w:rsidRPr="00AD53B9" w:rsidRDefault="008D3078" w:rsidP="001F50F4">
      <w:pPr>
        <w:rPr>
          <w:rFonts w:ascii="Arial" w:hAnsi="Arial" w:cs="Arial"/>
          <w:bCs/>
          <w:sz w:val="22"/>
          <w:szCs w:val="22"/>
        </w:rPr>
      </w:pPr>
      <w:r w:rsidRPr="00AD53B9">
        <w:rPr>
          <w:rFonts w:ascii="Arial" w:hAnsi="Arial" w:cs="Arial"/>
          <w:bCs/>
          <w:sz w:val="22"/>
          <w:szCs w:val="22"/>
        </w:rPr>
        <w:t xml:space="preserve">Further details about core surgical training in Health Education Yorkshire and Humber can be found on the HEYH website using the following weblink:  </w:t>
      </w:r>
      <w:hyperlink r:id="rId22" w:history="1">
        <w:r w:rsidRPr="00AD53B9">
          <w:rPr>
            <w:rStyle w:val="Hyperlink"/>
            <w:rFonts w:ascii="Arial" w:hAnsi="Arial" w:cs="Arial"/>
            <w:bCs/>
            <w:sz w:val="22"/>
            <w:szCs w:val="22"/>
          </w:rPr>
          <w:t>https://www.yorksandhumberdeanery.nhs.uk/surgery/core_surgical_training</w:t>
        </w:r>
      </w:hyperlink>
    </w:p>
    <w:p w14:paraId="238E0907" w14:textId="77777777" w:rsidR="008D3078" w:rsidRPr="00AD53B9" w:rsidRDefault="008D3078" w:rsidP="001F50F4">
      <w:pPr>
        <w:rPr>
          <w:rFonts w:ascii="Arial" w:hAnsi="Arial" w:cs="Arial"/>
          <w:bCs/>
          <w:sz w:val="22"/>
          <w:szCs w:val="22"/>
        </w:rPr>
      </w:pPr>
    </w:p>
    <w:p w14:paraId="4B46DDDB" w14:textId="77777777" w:rsidR="001F50F4" w:rsidRPr="001F50F4" w:rsidRDefault="001F50F4" w:rsidP="00D92400">
      <w:pPr>
        <w:spacing w:after="240"/>
        <w:ind w:right="-82"/>
        <w:rPr>
          <w:rFonts w:cs="Arial"/>
          <w:bCs/>
        </w:rPr>
      </w:pPr>
    </w:p>
    <w:sectPr w:rsidR="001F50F4" w:rsidRPr="001F50F4" w:rsidSect="00233AAA">
      <w:headerReference w:type="default" r:id="rId23"/>
      <w:footerReference w:type="default" r:id="rId24"/>
      <w:headerReference w:type="first" r:id="rId25"/>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EA90" w14:textId="77777777" w:rsidR="00A419B3" w:rsidRDefault="00A419B3" w:rsidP="00A47924">
      <w:r>
        <w:separator/>
      </w:r>
    </w:p>
  </w:endnote>
  <w:endnote w:type="continuationSeparator" w:id="0">
    <w:p w14:paraId="667C2F5D" w14:textId="77777777" w:rsidR="00A419B3" w:rsidRDefault="00A419B3" w:rsidP="00A4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ill Sans MT">
    <w:altName w:val="Bahnschrift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13809F9B" w14:textId="5FED2E9C"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D955DB">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955DB">
              <w:rPr>
                <w:b/>
                <w:bCs/>
                <w:noProof/>
              </w:rPr>
              <w:t>7</w:t>
            </w:r>
            <w:r>
              <w:rPr>
                <w:b/>
                <w:bCs/>
              </w:rPr>
              <w:fldChar w:fldCharType="end"/>
            </w:r>
          </w:p>
        </w:sdtContent>
      </w:sdt>
    </w:sdtContent>
  </w:sdt>
  <w:p w14:paraId="4877B20F"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7B7C" w14:textId="77777777" w:rsidR="00A419B3" w:rsidRDefault="00A419B3" w:rsidP="00A47924">
      <w:r>
        <w:separator/>
      </w:r>
    </w:p>
  </w:footnote>
  <w:footnote w:type="continuationSeparator" w:id="0">
    <w:p w14:paraId="0E5DF130" w14:textId="77777777" w:rsidR="00A419B3" w:rsidRDefault="00A419B3" w:rsidP="00A47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5D5B"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C7D5" w14:textId="75039F9A" w:rsidR="001446D6" w:rsidRDefault="0039078E">
    <w:pPr>
      <w:pStyle w:val="Header"/>
    </w:pPr>
    <w:r>
      <w:rPr>
        <w:noProof/>
        <w:lang w:eastAsia="en-GB"/>
      </w:rPr>
      <w:drawing>
        <wp:inline distT="0" distB="0" distL="0" distR="0" wp14:anchorId="3F9892B3" wp14:editId="6028F998">
          <wp:extent cx="1608399"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867" cy="884183"/>
                  </a:xfrm>
                  <a:prstGeom prst="rect">
                    <a:avLst/>
                  </a:prstGeom>
                  <a:noFill/>
                  <a:ln>
                    <a:noFill/>
                  </a:ln>
                </pic:spPr>
              </pic:pic>
            </a:graphicData>
          </a:graphic>
        </wp:inline>
      </w:drawing>
    </w:r>
    <w:r w:rsidR="001446D6" w:rsidRPr="001446D6">
      <w:rPr>
        <w:noProof/>
        <w:lang w:eastAsia="en-GB"/>
      </w:rPr>
      <w:drawing>
        <wp:anchor distT="0" distB="0" distL="114300" distR="114300" simplePos="0" relativeHeight="251661312" behindDoc="0" locked="0" layoutInCell="1" allowOverlap="1" wp14:anchorId="4CDA3096" wp14:editId="5A771A63">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478"/>
    <w:multiLevelType w:val="hybridMultilevel"/>
    <w:tmpl w:val="EE446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89207C"/>
    <w:multiLevelType w:val="hybridMultilevel"/>
    <w:tmpl w:val="E7A0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3351A"/>
    <w:multiLevelType w:val="hybridMultilevel"/>
    <w:tmpl w:val="CABA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D456F"/>
    <w:multiLevelType w:val="hybridMultilevel"/>
    <w:tmpl w:val="528AF546"/>
    <w:lvl w:ilvl="0" w:tplc="2F4839F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2466E"/>
    <w:multiLevelType w:val="multilevel"/>
    <w:tmpl w:val="64F6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5210EB"/>
    <w:multiLevelType w:val="hybridMultilevel"/>
    <w:tmpl w:val="94F4BB3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6946286">
    <w:abstractNumId w:val="1"/>
  </w:num>
  <w:num w:numId="2" w16cid:durableId="659237278">
    <w:abstractNumId w:val="7"/>
  </w:num>
  <w:num w:numId="3" w16cid:durableId="849874095">
    <w:abstractNumId w:val="3"/>
  </w:num>
  <w:num w:numId="4" w16cid:durableId="90318182">
    <w:abstractNumId w:val="6"/>
  </w:num>
  <w:num w:numId="5" w16cid:durableId="425155992">
    <w:abstractNumId w:val="0"/>
  </w:num>
  <w:num w:numId="6" w16cid:durableId="661394149">
    <w:abstractNumId w:val="4"/>
  </w:num>
  <w:num w:numId="7" w16cid:durableId="860817573">
    <w:abstractNumId w:val="2"/>
  </w:num>
  <w:num w:numId="8" w16cid:durableId="13815152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55"/>
    <w:rsid w:val="000130CE"/>
    <w:rsid w:val="00013A70"/>
    <w:rsid w:val="00026A76"/>
    <w:rsid w:val="00065783"/>
    <w:rsid w:val="00095070"/>
    <w:rsid w:val="000B3517"/>
    <w:rsid w:val="001061C8"/>
    <w:rsid w:val="001446D6"/>
    <w:rsid w:val="001601D3"/>
    <w:rsid w:val="0016395A"/>
    <w:rsid w:val="00184455"/>
    <w:rsid w:val="001A1C49"/>
    <w:rsid w:val="001C5708"/>
    <w:rsid w:val="001D22EB"/>
    <w:rsid w:val="001E4CF9"/>
    <w:rsid w:val="001F50F4"/>
    <w:rsid w:val="00204664"/>
    <w:rsid w:val="00211FC1"/>
    <w:rsid w:val="00221DF7"/>
    <w:rsid w:val="00233AAA"/>
    <w:rsid w:val="00252C23"/>
    <w:rsid w:val="00253A56"/>
    <w:rsid w:val="002620B3"/>
    <w:rsid w:val="00280640"/>
    <w:rsid w:val="00284185"/>
    <w:rsid w:val="002945F9"/>
    <w:rsid w:val="00302A5E"/>
    <w:rsid w:val="00336B8B"/>
    <w:rsid w:val="003755DE"/>
    <w:rsid w:val="00375C72"/>
    <w:rsid w:val="00384B44"/>
    <w:rsid w:val="00387011"/>
    <w:rsid w:val="0039078E"/>
    <w:rsid w:val="003933EC"/>
    <w:rsid w:val="003B6049"/>
    <w:rsid w:val="003D21D2"/>
    <w:rsid w:val="0041597A"/>
    <w:rsid w:val="00424D24"/>
    <w:rsid w:val="00432294"/>
    <w:rsid w:val="004419F1"/>
    <w:rsid w:val="00480A32"/>
    <w:rsid w:val="004865D2"/>
    <w:rsid w:val="004C60D9"/>
    <w:rsid w:val="004C76B3"/>
    <w:rsid w:val="004E3934"/>
    <w:rsid w:val="004E6FE9"/>
    <w:rsid w:val="004E7F6A"/>
    <w:rsid w:val="0050473E"/>
    <w:rsid w:val="00531364"/>
    <w:rsid w:val="00546ADE"/>
    <w:rsid w:val="005C24F3"/>
    <w:rsid w:val="005F0D72"/>
    <w:rsid w:val="005F219F"/>
    <w:rsid w:val="00620521"/>
    <w:rsid w:val="0063410C"/>
    <w:rsid w:val="00636D00"/>
    <w:rsid w:val="00642A58"/>
    <w:rsid w:val="006538D5"/>
    <w:rsid w:val="00693F6F"/>
    <w:rsid w:val="006D2A4D"/>
    <w:rsid w:val="006D4395"/>
    <w:rsid w:val="006F13A6"/>
    <w:rsid w:val="006F47B8"/>
    <w:rsid w:val="00734ED0"/>
    <w:rsid w:val="00751E65"/>
    <w:rsid w:val="0079528E"/>
    <w:rsid w:val="007E1E53"/>
    <w:rsid w:val="007E38FC"/>
    <w:rsid w:val="007F7AE0"/>
    <w:rsid w:val="00810700"/>
    <w:rsid w:val="00821D2F"/>
    <w:rsid w:val="00894697"/>
    <w:rsid w:val="008B550E"/>
    <w:rsid w:val="008D3078"/>
    <w:rsid w:val="008E1364"/>
    <w:rsid w:val="008F15AE"/>
    <w:rsid w:val="00916B21"/>
    <w:rsid w:val="0093309D"/>
    <w:rsid w:val="00961679"/>
    <w:rsid w:val="00974F15"/>
    <w:rsid w:val="009972D1"/>
    <w:rsid w:val="009A36C2"/>
    <w:rsid w:val="009D0B85"/>
    <w:rsid w:val="009E36C2"/>
    <w:rsid w:val="009F56AB"/>
    <w:rsid w:val="00A056AB"/>
    <w:rsid w:val="00A419B3"/>
    <w:rsid w:val="00A42355"/>
    <w:rsid w:val="00A47924"/>
    <w:rsid w:val="00A66A02"/>
    <w:rsid w:val="00A83988"/>
    <w:rsid w:val="00A945F8"/>
    <w:rsid w:val="00AA49DE"/>
    <w:rsid w:val="00AD52DF"/>
    <w:rsid w:val="00AD53B9"/>
    <w:rsid w:val="00AE1DAF"/>
    <w:rsid w:val="00AF2761"/>
    <w:rsid w:val="00AF5E8D"/>
    <w:rsid w:val="00B629A6"/>
    <w:rsid w:val="00B750A2"/>
    <w:rsid w:val="00B91865"/>
    <w:rsid w:val="00B92A07"/>
    <w:rsid w:val="00BB2028"/>
    <w:rsid w:val="00BB57E6"/>
    <w:rsid w:val="00BD7280"/>
    <w:rsid w:val="00BF043E"/>
    <w:rsid w:val="00BF499B"/>
    <w:rsid w:val="00C01593"/>
    <w:rsid w:val="00C63BA9"/>
    <w:rsid w:val="00C65132"/>
    <w:rsid w:val="00C65FA4"/>
    <w:rsid w:val="00CB1831"/>
    <w:rsid w:val="00CD7DF9"/>
    <w:rsid w:val="00CF3F19"/>
    <w:rsid w:val="00CF651E"/>
    <w:rsid w:val="00D66D5B"/>
    <w:rsid w:val="00D92400"/>
    <w:rsid w:val="00D955DB"/>
    <w:rsid w:val="00DF4642"/>
    <w:rsid w:val="00E02D02"/>
    <w:rsid w:val="00E65674"/>
    <w:rsid w:val="00E70957"/>
    <w:rsid w:val="00E81EDA"/>
    <w:rsid w:val="00E900AA"/>
    <w:rsid w:val="00EB3EA8"/>
    <w:rsid w:val="00EB5CD8"/>
    <w:rsid w:val="00EB778F"/>
    <w:rsid w:val="00F13676"/>
    <w:rsid w:val="00F24AEA"/>
    <w:rsid w:val="00F75B9C"/>
    <w:rsid w:val="00F85689"/>
    <w:rsid w:val="00F9572D"/>
    <w:rsid w:val="00F964FE"/>
    <w:rsid w:val="00FA3CE4"/>
    <w:rsid w:val="00FC77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8161"/>
  <w15:docId w15:val="{57CDE70B-88FD-4147-8C6E-A1BE9CA2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F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jc w:val="both"/>
      <w:outlineLvl w:val="0"/>
    </w:pPr>
    <w:rPr>
      <w:rFonts w:ascii="Arial" w:eastAsiaTheme="majorEastAsia" w:hAnsi="Arial" w:cs="Arial"/>
      <w:b/>
      <w:bCs/>
      <w:color w:val="A00054"/>
      <w:sz w:val="40"/>
      <w:szCs w:val="40"/>
      <w:lang w:eastAsia="en-US"/>
    </w:rPr>
  </w:style>
  <w:style w:type="paragraph" w:styleId="Heading2">
    <w:name w:val="heading 2"/>
    <w:basedOn w:val="Normal"/>
    <w:next w:val="Normal"/>
    <w:link w:val="Heading2Char"/>
    <w:uiPriority w:val="9"/>
    <w:unhideWhenUsed/>
    <w:qFormat/>
    <w:rsid w:val="00A47924"/>
    <w:pPr>
      <w:keepNext/>
      <w:keepLines/>
      <w:spacing w:after="120"/>
      <w:jc w:val="both"/>
      <w:outlineLvl w:val="1"/>
    </w:pPr>
    <w:rPr>
      <w:rFonts w:ascii="Arial" w:eastAsiaTheme="majorEastAsia" w:hAnsi="Arial" w:cstheme="majorBidi"/>
      <w:b/>
      <w:bCs/>
      <w:color w:val="003893"/>
      <w:sz w:val="28"/>
      <w:szCs w:val="28"/>
      <w:lang w:eastAsia="en-US"/>
    </w:rPr>
  </w:style>
  <w:style w:type="paragraph" w:styleId="Heading3">
    <w:name w:val="heading 3"/>
    <w:basedOn w:val="Normal"/>
    <w:next w:val="Normal"/>
    <w:link w:val="Heading3Char"/>
    <w:uiPriority w:val="9"/>
    <w:semiHidden/>
    <w:unhideWhenUsed/>
    <w:qFormat/>
    <w:rsid w:val="00A47924"/>
    <w:pPr>
      <w:spacing w:after="120"/>
      <w:jc w:val="both"/>
      <w:outlineLvl w:val="2"/>
    </w:pPr>
    <w:rPr>
      <w:rFonts w:ascii="Arial" w:eastAsiaTheme="minorEastAsia" w:hAnsi="Arial" w:cstheme="minorBidi"/>
      <w:b/>
      <w:szCs w:val="22"/>
      <w:lang w:eastAsia="en-US"/>
    </w:rPr>
  </w:style>
  <w:style w:type="paragraph" w:styleId="Heading4">
    <w:name w:val="heading 4"/>
    <w:basedOn w:val="Normal"/>
    <w:next w:val="Normal"/>
    <w:link w:val="Heading4Char"/>
    <w:uiPriority w:val="9"/>
    <w:semiHidden/>
    <w:unhideWhenUsed/>
    <w:qFormat/>
    <w:rsid w:val="00A47924"/>
    <w:pPr>
      <w:keepNext/>
      <w:keepLines/>
      <w:spacing w:before="200"/>
      <w:jc w:val="both"/>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A47924"/>
    <w:pPr>
      <w:keepNext/>
      <w:keepLines/>
      <w:spacing w:before="200"/>
      <w:jc w:val="both"/>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A47924"/>
    <w:pPr>
      <w:keepNext/>
      <w:keepLines/>
      <w:spacing w:before="200"/>
      <w:jc w:val="both"/>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A47924"/>
    <w:pPr>
      <w:keepNext/>
      <w:keepLines/>
      <w:spacing w:before="200"/>
      <w:jc w:val="both"/>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A47924"/>
    <w:pPr>
      <w:keepNext/>
      <w:keepLines/>
      <w:spacing w:before="200"/>
      <w:jc w:val="both"/>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A47924"/>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7924"/>
    <w:pPr>
      <w:spacing w:after="120"/>
      <w:ind w:left="720"/>
      <w:jc w:val="both"/>
    </w:pPr>
    <w:rPr>
      <w:rFonts w:ascii="Arial" w:eastAsiaTheme="minorEastAsia" w:hAnsi="Arial" w:cstheme="minorBidi"/>
      <w:lang w:eastAsia="en-US"/>
    </w:r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jc w:val="both"/>
    </w:pPr>
    <w:rPr>
      <w:rFonts w:ascii="Arial" w:eastAsiaTheme="minorEastAsia" w:hAnsi="Arial" w:cstheme="minorBidi"/>
      <w:b/>
      <w:bCs/>
      <w:color w:val="4F81BD" w:themeColor="accent1"/>
      <w:sz w:val="18"/>
      <w:szCs w:val="18"/>
      <w:lang w:eastAsia="en-US"/>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spacing w:after="120"/>
      <w:jc w:val="both"/>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pPr>
      <w:spacing w:after="120"/>
      <w:jc w:val="both"/>
    </w:pPr>
    <w:rPr>
      <w:rFonts w:ascii="Arial" w:eastAsiaTheme="minorEastAsia" w:hAnsi="Arial" w:cstheme="minorBidi"/>
      <w:i/>
      <w:iCs/>
      <w:color w:val="000000" w:themeColor="text1"/>
      <w:lang w:eastAsia="en-US"/>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jc w:val="both"/>
    </w:pPr>
    <w:rPr>
      <w:rFonts w:ascii="Arial" w:eastAsiaTheme="minorEastAsia" w:hAnsi="Arial"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pPr>
      <w:spacing w:after="120"/>
      <w:jc w:val="both"/>
    </w:pPr>
    <w:rPr>
      <w:rFonts w:ascii="Arial" w:eastAsiaTheme="minorEastAsia" w:hAnsi="Arial" w:cstheme="minorBidi"/>
      <w:color w:val="A00054"/>
      <w:lang w:eastAsia="en-US"/>
    </w:rPr>
  </w:style>
  <w:style w:type="paragraph" w:customStyle="1" w:styleId="Introductionparagraphblue">
    <w:name w:val="Introduction paragraph blue"/>
    <w:basedOn w:val="Normal"/>
    <w:qFormat/>
    <w:rsid w:val="00A47924"/>
    <w:pPr>
      <w:spacing w:after="400"/>
      <w:jc w:val="both"/>
    </w:pPr>
    <w:rPr>
      <w:rFonts w:ascii="Arial" w:eastAsiaTheme="minorEastAsia" w:hAnsi="Arial" w:cstheme="minorBidi"/>
      <w:color w:val="003893"/>
      <w:sz w:val="32"/>
      <w:szCs w:val="32"/>
      <w:lang w:eastAsia="en-US"/>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pPr>
      <w:spacing w:after="120"/>
      <w:jc w:val="both"/>
    </w:pPr>
    <w:rPr>
      <w:rFonts w:ascii="Arial" w:eastAsiaTheme="minorEastAsia" w:hAnsi="Arial" w:cstheme="minorBidi"/>
      <w:color w:val="A00054"/>
      <w:sz w:val="28"/>
      <w:szCs w:val="28"/>
      <w:lang w:eastAsia="en-US"/>
    </w:rPr>
  </w:style>
  <w:style w:type="paragraph" w:customStyle="1" w:styleId="Reportcovertitle">
    <w:name w:val="Report cover title"/>
    <w:basedOn w:val="Normal"/>
    <w:qFormat/>
    <w:rsid w:val="00A47924"/>
    <w:pPr>
      <w:spacing w:before="1600" w:after="120"/>
      <w:jc w:val="both"/>
    </w:pPr>
    <w:rPr>
      <w:rFonts w:ascii="Arial" w:eastAsiaTheme="minorEastAsia" w:hAnsi="Arial" w:cstheme="minorBidi"/>
      <w:b/>
      <w:color w:val="A00054"/>
      <w:sz w:val="72"/>
      <w:szCs w:val="72"/>
      <w:lang w:eastAsia="en-US"/>
    </w:rPr>
  </w:style>
  <w:style w:type="paragraph" w:styleId="BalloonText">
    <w:name w:val="Balloon Text"/>
    <w:basedOn w:val="Normal"/>
    <w:link w:val="BalloonTextChar"/>
    <w:uiPriority w:val="99"/>
    <w:semiHidden/>
    <w:unhideWhenUsed/>
    <w:rsid w:val="00A47924"/>
    <w:pPr>
      <w:jc w:val="both"/>
    </w:pPr>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jc w:val="both"/>
    </w:pPr>
    <w:rPr>
      <w:rFonts w:ascii="Arial" w:eastAsiaTheme="minorEastAsia" w:hAnsi="Arial" w:cstheme="minorBidi"/>
      <w:lang w:eastAsia="en-US"/>
    </w:r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jc w:val="both"/>
    </w:pPr>
    <w:rPr>
      <w:rFonts w:ascii="Arial" w:eastAsiaTheme="minorEastAsia" w:hAnsi="Arial" w:cstheme="minorBidi"/>
      <w:lang w:eastAsia="en-US"/>
    </w:r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rPr>
      <w:rFonts w:ascii="Arial" w:hAnsi="Arial" w:cs="Arial"/>
      <w:sz w:val="22"/>
      <w:szCs w:val="20"/>
      <w:lang w:eastAsia="en-US"/>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pPr>
    <w:rPr>
      <w:rFonts w:ascii="Arial" w:eastAsia="Arial Unicode MS" w:hAnsi="Arial" w:cs="Arial"/>
      <w:color w:val="333333"/>
      <w:sz w:val="20"/>
      <w:szCs w:val="20"/>
      <w:lang w:eastAsia="en-US"/>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pPr>
      <w:spacing w:after="120"/>
      <w:jc w:val="both"/>
    </w:pPr>
    <w:rPr>
      <w:rFonts w:ascii="Arial" w:eastAsiaTheme="minorEastAsia" w:hAnsi="Arial" w:cstheme="minorBidi"/>
      <w:sz w:val="20"/>
      <w:szCs w:val="20"/>
      <w:lang w:eastAsia="en-US"/>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3">
    <w:name w:val="Body Text 3"/>
    <w:basedOn w:val="Normal"/>
    <w:link w:val="BodyText3Char"/>
    <w:uiPriority w:val="99"/>
    <w:semiHidden/>
    <w:unhideWhenUsed/>
    <w:rsid w:val="00961679"/>
    <w:pPr>
      <w:spacing w:after="120"/>
      <w:jc w:val="both"/>
    </w:pPr>
    <w:rPr>
      <w:rFonts w:ascii="Arial" w:eastAsiaTheme="minorEastAsia" w:hAnsi="Arial" w:cstheme="minorBidi"/>
      <w:sz w:val="16"/>
      <w:szCs w:val="16"/>
      <w:lang w:eastAsia="en-US"/>
    </w:rPr>
  </w:style>
  <w:style w:type="character" w:customStyle="1" w:styleId="BodyText3Char">
    <w:name w:val="Body Text 3 Char"/>
    <w:basedOn w:val="DefaultParagraphFont"/>
    <w:link w:val="BodyText3"/>
    <w:uiPriority w:val="99"/>
    <w:semiHidden/>
    <w:rsid w:val="00961679"/>
    <w:rPr>
      <w:sz w:val="16"/>
      <w:szCs w:val="16"/>
    </w:rPr>
  </w:style>
  <w:style w:type="character" w:customStyle="1" w:styleId="UnresolvedMention1">
    <w:name w:val="Unresolved Mention1"/>
    <w:basedOn w:val="DefaultParagraphFont"/>
    <w:uiPriority w:val="99"/>
    <w:semiHidden/>
    <w:unhideWhenUsed/>
    <w:rsid w:val="00FA3CE4"/>
    <w:rPr>
      <w:color w:val="605E5C"/>
      <w:shd w:val="clear" w:color="auto" w:fill="E1DFDD"/>
    </w:rPr>
  </w:style>
  <w:style w:type="character" w:styleId="UnresolvedMention">
    <w:name w:val="Unresolved Mention"/>
    <w:basedOn w:val="DefaultParagraphFont"/>
    <w:uiPriority w:val="99"/>
    <w:semiHidden/>
    <w:unhideWhenUsed/>
    <w:rsid w:val="00CF651E"/>
    <w:rPr>
      <w:color w:val="605E5C"/>
      <w:shd w:val="clear" w:color="auto" w:fill="E1DFDD"/>
    </w:rPr>
  </w:style>
  <w:style w:type="paragraph" w:styleId="Revision">
    <w:name w:val="Revision"/>
    <w:hidden/>
    <w:uiPriority w:val="99"/>
    <w:semiHidden/>
    <w:rsid w:val="0081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959">
      <w:bodyDiv w:val="1"/>
      <w:marLeft w:val="0"/>
      <w:marRight w:val="0"/>
      <w:marTop w:val="0"/>
      <w:marBottom w:val="0"/>
      <w:divBdr>
        <w:top w:val="none" w:sz="0" w:space="0" w:color="auto"/>
        <w:left w:val="none" w:sz="0" w:space="0" w:color="auto"/>
        <w:bottom w:val="none" w:sz="0" w:space="0" w:color="auto"/>
        <w:right w:val="none" w:sz="0" w:space="0" w:color="auto"/>
      </w:divBdr>
    </w:div>
    <w:div w:id="205146609">
      <w:bodyDiv w:val="1"/>
      <w:marLeft w:val="0"/>
      <w:marRight w:val="0"/>
      <w:marTop w:val="0"/>
      <w:marBottom w:val="0"/>
      <w:divBdr>
        <w:top w:val="none" w:sz="0" w:space="0" w:color="auto"/>
        <w:left w:val="none" w:sz="0" w:space="0" w:color="auto"/>
        <w:bottom w:val="none" w:sz="0" w:space="0" w:color="auto"/>
        <w:right w:val="none" w:sz="0" w:space="0" w:color="auto"/>
      </w:divBdr>
    </w:div>
    <w:div w:id="632755196">
      <w:bodyDiv w:val="1"/>
      <w:marLeft w:val="0"/>
      <w:marRight w:val="0"/>
      <w:marTop w:val="0"/>
      <w:marBottom w:val="0"/>
      <w:divBdr>
        <w:top w:val="none" w:sz="0" w:space="0" w:color="auto"/>
        <w:left w:val="none" w:sz="0" w:space="0" w:color="auto"/>
        <w:bottom w:val="none" w:sz="0" w:space="0" w:color="auto"/>
        <w:right w:val="none" w:sz="0" w:space="0" w:color="auto"/>
      </w:divBdr>
    </w:div>
    <w:div w:id="669910213">
      <w:bodyDiv w:val="1"/>
      <w:marLeft w:val="0"/>
      <w:marRight w:val="0"/>
      <w:marTop w:val="0"/>
      <w:marBottom w:val="0"/>
      <w:divBdr>
        <w:top w:val="none" w:sz="0" w:space="0" w:color="auto"/>
        <w:left w:val="none" w:sz="0" w:space="0" w:color="auto"/>
        <w:bottom w:val="none" w:sz="0" w:space="0" w:color="auto"/>
        <w:right w:val="none" w:sz="0" w:space="0" w:color="auto"/>
      </w:divBdr>
    </w:div>
    <w:div w:id="1295676653">
      <w:bodyDiv w:val="1"/>
      <w:marLeft w:val="0"/>
      <w:marRight w:val="0"/>
      <w:marTop w:val="0"/>
      <w:marBottom w:val="0"/>
      <w:divBdr>
        <w:top w:val="none" w:sz="0" w:space="0" w:color="auto"/>
        <w:left w:val="none" w:sz="0" w:space="0" w:color="auto"/>
        <w:bottom w:val="none" w:sz="0" w:space="0" w:color="auto"/>
        <w:right w:val="none" w:sz="0" w:space="0" w:color="auto"/>
      </w:divBdr>
    </w:div>
    <w:div w:id="1451244213">
      <w:bodyDiv w:val="1"/>
      <w:marLeft w:val="0"/>
      <w:marRight w:val="0"/>
      <w:marTop w:val="0"/>
      <w:marBottom w:val="0"/>
      <w:divBdr>
        <w:top w:val="none" w:sz="0" w:space="0" w:color="auto"/>
        <w:left w:val="none" w:sz="0" w:space="0" w:color="auto"/>
        <w:bottom w:val="none" w:sz="0" w:space="0" w:color="auto"/>
        <w:right w:val="none" w:sz="0" w:space="0" w:color="auto"/>
      </w:divBdr>
    </w:div>
    <w:div w:id="1507359825">
      <w:bodyDiv w:val="1"/>
      <w:marLeft w:val="0"/>
      <w:marRight w:val="0"/>
      <w:marTop w:val="0"/>
      <w:marBottom w:val="0"/>
      <w:divBdr>
        <w:top w:val="none" w:sz="0" w:space="0" w:color="auto"/>
        <w:left w:val="none" w:sz="0" w:space="0" w:color="auto"/>
        <w:bottom w:val="none" w:sz="0" w:space="0" w:color="auto"/>
        <w:right w:val="none" w:sz="0" w:space="0" w:color="auto"/>
      </w:divBdr>
    </w:div>
    <w:div w:id="21071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cp.ac.uk" TargetMode="External"/><Relationship Id="rId18" Type="http://schemas.openxmlformats.org/officeDocument/2006/relationships/hyperlink" Target="mailto:kevin.wembridge@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ihr.ac.uk/funding-and-support/funding-for-training-and-career-development/training-programmes/integrated-academic-training-programme/integrated-academic-training/academic-clinical-fellowships/" TargetMode="External"/><Relationship Id="rId7" Type="http://schemas.openxmlformats.org/officeDocument/2006/relationships/settings" Target="settings.xml"/><Relationship Id="rId12" Type="http://schemas.openxmlformats.org/officeDocument/2006/relationships/hyperlink" Target="https://www.york.ac.uk/study/postgraduate-taught/courses/msc-health-research/" TargetMode="External"/><Relationship Id="rId17" Type="http://schemas.openxmlformats.org/officeDocument/2006/relationships/hyperlink" Target="mailto:amar.rangan@york.ac.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yorksandhumberdeanery.nhs.uk/surgery/trauma__orthopaedics" TargetMode="External"/><Relationship Id="rId20" Type="http://schemas.openxmlformats.org/officeDocument/2006/relationships/hyperlink" Target="mailto:emma.collins123@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ac.uk/healthsciences/our-staff/amar-ranga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rksandhumberdeanery.nhs.uk/surgery/core_surgical_trainin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dam.barlow@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cst.org" TargetMode="External"/><Relationship Id="rId22" Type="http://schemas.openxmlformats.org/officeDocument/2006/relationships/hyperlink" Target="https://www.yorksandhumberdeanery.nhs.uk/surgery/core_surgical_trainin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iss\Desktop\JDs%20IAT\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1" ma:contentTypeDescription="Create a new document." ma:contentTypeScope="" ma:versionID="0b7f3e209b5d2ef38444238e3d7b7b3c">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d8ef163ae280708d27d91931ccb32ef5"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1DEA-C635-4284-8137-0C9C0EC064E8}">
  <ds:schemaRefs>
    <ds:schemaRef ds:uri="http://schemas.microsoft.com/sharepoint/v3/contenttype/forms"/>
  </ds:schemaRefs>
</ds:datastoreItem>
</file>

<file path=customXml/itemProps2.xml><?xml version="1.0" encoding="utf-8"?>
<ds:datastoreItem xmlns:ds="http://schemas.openxmlformats.org/officeDocument/2006/customXml" ds:itemID="{3FC54749-66B8-4606-AF08-CBD7423C89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D428C8-A330-451B-9845-73FD3CD9D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e5133-23c0-4b3f-b17c-41b26a63803f"/>
    <ds:schemaRef ds:uri="173eebc7-d257-4ab0-80dd-e184dae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253DF-3BAB-41D9-BB5A-C3309745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 Job Description template 2018</Template>
  <TotalTime>2</TotalTime>
  <Pages>6</Pages>
  <Words>2486</Words>
  <Characters>14175</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Job Description</vt:lpstr>
      <vt:lpstr>NIHR Academic Clinical Fellowship </vt:lpstr>
      <vt:lpstr>Trauma and Orthopaedic Surgery ST1 entry </vt:lpstr>
      <vt:lpstr>(1 post)</vt:lpstr>
      <vt:lpstr>POST DETAILS</vt:lpstr>
      <vt:lpstr>    Job Title</vt:lpstr>
      <vt:lpstr>    Duration of the Post</vt:lpstr>
      <vt:lpstr>    Health Education England region in which training will take place</vt:lpstr>
      <vt:lpstr>    Research institution in which training will take place</vt:lpstr>
      <vt:lpstr>    Research Protected Time: </vt:lpstr>
      <vt:lpstr>    Academic Clinical Fellowship Training Programme: Research Component </vt:lpstr>
      <vt:lpstr>    Academic Clinical Fellowship Training Programme: Clinical Component </vt:lpstr>
      <vt:lpstr>CONTACTS</vt:lpstr>
      <vt:lpstr>    Academic Lead and Supervisor</vt:lpstr>
      <vt:lpstr>    Clinical Training Programme Directors</vt:lpstr>
      <vt:lpstr>    Academic Training Programme Director</vt:lpstr>
      <vt:lpstr>Further Information</vt:lpstr>
      <vt:lpstr>How to Apply</vt:lpstr>
      <vt:lpstr>Appendix 1:	Further particulars – Hull York Medical School </vt:lpstr>
    </vt:vector>
  </TitlesOfParts>
  <Company>Health Education Yorkshire and the Humber</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Ward</dc:creator>
  <cp:lastModifiedBy>Emma Nowell</cp:lastModifiedBy>
  <cp:revision>2</cp:revision>
  <dcterms:created xsi:type="dcterms:W3CDTF">2022-10-04T10:02:00Z</dcterms:created>
  <dcterms:modified xsi:type="dcterms:W3CDTF">2022-10-04T10:02:00Z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ies>
</file>