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8E5F" w14:textId="23D86E62" w:rsidR="00D118A1" w:rsidRPr="00D118A1" w:rsidRDefault="00D118A1" w:rsidP="00DB0D05">
      <w:pPr>
        <w:rPr>
          <w:b/>
          <w:bCs/>
          <w:u w:val="single"/>
        </w:rPr>
      </w:pPr>
      <w:r w:rsidRPr="00D118A1">
        <w:rPr>
          <w:b/>
          <w:bCs/>
          <w:u w:val="single"/>
        </w:rPr>
        <w:t xml:space="preserve">NHSE Yorkshire and Humber, School of Surgery Study Leave </w:t>
      </w:r>
      <w:r w:rsidR="00DE040B">
        <w:rPr>
          <w:b/>
          <w:bCs/>
          <w:u w:val="single"/>
        </w:rPr>
        <w:t>Guidelines</w:t>
      </w:r>
    </w:p>
    <w:p w14:paraId="473FC41A" w14:textId="011D3D7D" w:rsidR="00D118A1" w:rsidRDefault="00DE040B" w:rsidP="00DB0D05">
      <w:r>
        <w:t xml:space="preserve">Draft copy </w:t>
      </w:r>
      <w:r w:rsidR="00BD2ED3">
        <w:t>12</w:t>
      </w:r>
      <w:r w:rsidR="00BD2ED3" w:rsidRPr="00BD2ED3">
        <w:rPr>
          <w:vertAlign w:val="superscript"/>
        </w:rPr>
        <w:t>th</w:t>
      </w:r>
      <w:r w:rsidR="00BD2ED3">
        <w:t xml:space="preserve"> July</w:t>
      </w:r>
      <w:r>
        <w:t xml:space="preserve"> 2024</w:t>
      </w:r>
    </w:p>
    <w:p w14:paraId="453629D4" w14:textId="77777777" w:rsidR="00DE040B" w:rsidRDefault="00DE040B" w:rsidP="00DB0D05"/>
    <w:p w14:paraId="7F404BAD" w14:textId="1AD41559" w:rsidR="00DB0D05" w:rsidRPr="00DB0D05" w:rsidRDefault="00B90833" w:rsidP="00DB0D05">
      <w:r>
        <w:t>All schools in the Yorkshire and Humber Deanery adhere to the overarching NHS England guidelines on Study Leave</w:t>
      </w:r>
      <w:r w:rsidR="00AB20F9">
        <w:t xml:space="preserve">. The up-to-date Y&amp;H Operational Guidance as well as FAQ, Accent Leave Manager (ALM) User Guide and helpful contacts can all be found on our </w:t>
      </w:r>
      <w:hyperlink r:id="rId5" w:history="1">
        <w:r w:rsidR="00AB20F9" w:rsidRPr="00AB20F9">
          <w:rPr>
            <w:rStyle w:val="Hyperlink"/>
          </w:rPr>
          <w:t>website</w:t>
        </w:r>
      </w:hyperlink>
      <w:r w:rsidR="00AB20F9">
        <w:t xml:space="preserve">. </w:t>
      </w:r>
      <w:proofErr w:type="spellStart"/>
      <w:r w:rsidR="00AB20F9">
        <w:t>PGDiTs</w:t>
      </w:r>
      <w:proofErr w:type="spellEnd"/>
      <w:r w:rsidR="00AB20F9">
        <w:t xml:space="preserve"> should familiarise themselves with the study leave process in conjunction with the information below before making an application for study leave time and / or funding. </w:t>
      </w:r>
    </w:p>
    <w:p w14:paraId="139FB2E4" w14:textId="57C4FB08" w:rsidR="00DB0D05" w:rsidRPr="00DB0D05" w:rsidRDefault="00DB0D05" w:rsidP="00DB0D05"/>
    <w:p w14:paraId="3E494667" w14:textId="77777777" w:rsidR="00DB0D05" w:rsidRDefault="00DB0D05" w:rsidP="00DB0D05">
      <w:r w:rsidRPr="00DB0D05">
        <w:t>All requests will be considered individually however these are some general guidelines:</w:t>
      </w:r>
    </w:p>
    <w:p w14:paraId="76DA6872" w14:textId="77777777" w:rsidR="00D118A1" w:rsidRPr="00DB0D05" w:rsidRDefault="00D118A1" w:rsidP="00DB0D05"/>
    <w:p w14:paraId="1C1EB875" w14:textId="4C419748" w:rsidR="00DB0D05" w:rsidRDefault="00DB0D05" w:rsidP="00DB0D05">
      <w:pPr>
        <w:numPr>
          <w:ilvl w:val="0"/>
          <w:numId w:val="1"/>
        </w:numPr>
      </w:pPr>
      <w:r>
        <w:t xml:space="preserve">A wide range or courses are now delivered within the deanery. Requests for local courses are more likely to be supported; these are </w:t>
      </w:r>
      <w:r w:rsidR="00D118A1">
        <w:t>delivered to high standard</w:t>
      </w:r>
      <w:r w:rsidR="00DC531A">
        <w:t>s</w:t>
      </w:r>
      <w:r w:rsidR="00D118A1">
        <w:t>, more cost-effective, helps regional investment to develop local faculty, expertise, facilities and supports the NHS</w:t>
      </w:r>
      <w:r w:rsidR="00DC531A">
        <w:t>’</w:t>
      </w:r>
      <w:r w:rsidR="00D118A1">
        <w:t xml:space="preserve"> environmental sustainability initiative</w:t>
      </w:r>
      <w:r w:rsidR="00DC531A">
        <w:t>s</w:t>
      </w:r>
      <w:r w:rsidR="00D118A1">
        <w:t>.</w:t>
      </w:r>
    </w:p>
    <w:p w14:paraId="4CC1C266" w14:textId="3E4AD9C2" w:rsidR="00D118A1" w:rsidRDefault="00BD2ED3" w:rsidP="00D118A1">
      <w:pPr>
        <w:numPr>
          <w:ilvl w:val="0"/>
          <w:numId w:val="1"/>
        </w:numPr>
      </w:pPr>
      <w:r w:rsidRPr="00BD2ED3">
        <w:t>Applications with estimated expenses of £1000 or more may require</w:t>
      </w:r>
      <w:r>
        <w:t xml:space="preserve"> Head of </w:t>
      </w:r>
      <w:proofErr w:type="gramStart"/>
      <w:r>
        <w:t>School(</w:t>
      </w:r>
      <w:proofErr w:type="spellStart"/>
      <w:proofErr w:type="gramEnd"/>
      <w:r w:rsidRPr="00BD2ED3">
        <w:t>HoS</w:t>
      </w:r>
      <w:proofErr w:type="spellEnd"/>
      <w:r>
        <w:t>)/Deputy Head of School(</w:t>
      </w:r>
      <w:proofErr w:type="spellStart"/>
      <w:r>
        <w:t>DyHoS</w:t>
      </w:r>
      <w:proofErr w:type="spellEnd"/>
      <w:r>
        <w:t>)</w:t>
      </w:r>
      <w:r w:rsidRPr="00BD2ED3">
        <w:t xml:space="preserve"> approval. Where this applies ALM will automatically direct the application to the </w:t>
      </w:r>
      <w:proofErr w:type="spellStart"/>
      <w:r w:rsidRPr="00BD2ED3">
        <w:t>HoS</w:t>
      </w:r>
      <w:proofErr w:type="spellEnd"/>
      <w:r>
        <w:t>/</w:t>
      </w:r>
      <w:proofErr w:type="spellStart"/>
      <w:r>
        <w:t>DyHoS</w:t>
      </w:r>
      <w:proofErr w:type="spellEnd"/>
      <w:r w:rsidRPr="00BD2ED3">
        <w:t xml:space="preserve"> for initial consideration. The </w:t>
      </w:r>
      <w:proofErr w:type="spellStart"/>
      <w:r w:rsidRPr="00BD2ED3">
        <w:t>HoS</w:t>
      </w:r>
      <w:proofErr w:type="spellEnd"/>
      <w:r>
        <w:t>/</w:t>
      </w:r>
      <w:proofErr w:type="spellStart"/>
      <w:r>
        <w:t>DyHoS</w:t>
      </w:r>
      <w:proofErr w:type="spellEnd"/>
      <w:r w:rsidRPr="00BD2ED3">
        <w:t xml:space="preserve"> role is to determine the financial impact and affordability relative to the </w:t>
      </w:r>
      <w:proofErr w:type="gramStart"/>
      <w:r w:rsidRPr="00BD2ED3">
        <w:t>schools</w:t>
      </w:r>
      <w:proofErr w:type="gramEnd"/>
      <w:r w:rsidRPr="00BD2ED3">
        <w:t xml:space="preserve"> overall study budget.  The </w:t>
      </w:r>
      <w:proofErr w:type="spellStart"/>
      <w:r w:rsidRPr="00BD2ED3">
        <w:t>HoS</w:t>
      </w:r>
      <w:proofErr w:type="spellEnd"/>
      <w:r w:rsidRPr="00BD2ED3">
        <w:t xml:space="preserve"> will not be considering the educational appropriateness of the request in relation to an individual’s training projection / career pathway. If </w:t>
      </w:r>
      <w:proofErr w:type="spellStart"/>
      <w:r w:rsidRPr="00BD2ED3">
        <w:t>HoS</w:t>
      </w:r>
      <w:proofErr w:type="spellEnd"/>
      <w:r>
        <w:t>/</w:t>
      </w:r>
      <w:proofErr w:type="spellStart"/>
      <w:r>
        <w:t>DyHoS</w:t>
      </w:r>
      <w:proofErr w:type="spellEnd"/>
      <w:r w:rsidRPr="00BD2ED3">
        <w:t xml:space="preserve"> approval is given, the application will progress to the relevant TPD for consideration of the latter</w:t>
      </w:r>
      <w:r w:rsidR="00DD3682">
        <w:t>.</w:t>
      </w:r>
      <w:r w:rsidR="001343D6">
        <w:t xml:space="preserve"> </w:t>
      </w:r>
    </w:p>
    <w:p w14:paraId="7050030F" w14:textId="204DC35D" w:rsidR="00D118A1" w:rsidRPr="00DB0D05" w:rsidRDefault="2A981A06" w:rsidP="00B90833">
      <w:pPr>
        <w:numPr>
          <w:ilvl w:val="0"/>
          <w:numId w:val="1"/>
        </w:numPr>
      </w:pPr>
      <w:r>
        <w:t>Overseas courses:</w:t>
      </w:r>
    </w:p>
    <w:p w14:paraId="2774DC05" w14:textId="6A041502" w:rsidR="00D118A1" w:rsidRPr="00DB0D05" w:rsidRDefault="00D118A1" w:rsidP="04E25C58">
      <w:pPr>
        <w:numPr>
          <w:ilvl w:val="1"/>
          <w:numId w:val="1"/>
        </w:numPr>
      </w:pPr>
      <w:r>
        <w:t xml:space="preserve">Study leave funding for courses outside the UK will only be provided at the discretion of the </w:t>
      </w:r>
      <w:proofErr w:type="spellStart"/>
      <w:r w:rsidR="724CC803">
        <w:t>HoS</w:t>
      </w:r>
      <w:proofErr w:type="spellEnd"/>
      <w:r w:rsidR="00BD2ED3">
        <w:t>/</w:t>
      </w:r>
      <w:r w:rsidR="00BD2ED3" w:rsidRPr="00BD2ED3">
        <w:t xml:space="preserve"> </w:t>
      </w:r>
      <w:proofErr w:type="spellStart"/>
      <w:r w:rsidR="00BD2ED3">
        <w:t>DyHoS</w:t>
      </w:r>
      <w:proofErr w:type="spellEnd"/>
      <w:r>
        <w:t xml:space="preserve"> and if approved will </w:t>
      </w:r>
      <w:r w:rsidR="006D125D">
        <w:t xml:space="preserve">only support </w:t>
      </w:r>
      <w:r>
        <w:t>the course fee</w:t>
      </w:r>
      <w:r w:rsidR="006D125D">
        <w:t>.</w:t>
      </w:r>
      <w:r w:rsidR="00DD3682">
        <w:t xml:space="preserve"> If the same course is available within the </w:t>
      </w:r>
      <w:r w:rsidR="1C9A378D">
        <w:t>UK,</w:t>
      </w:r>
      <w:r w:rsidR="00DD3682">
        <w:t xml:space="preserve"> then the lower course fee between either </w:t>
      </w:r>
      <w:r w:rsidR="76693854">
        <w:t>option</w:t>
      </w:r>
      <w:r w:rsidR="00DD3682">
        <w:t xml:space="preserve"> will be remunerated</w:t>
      </w:r>
      <w:r w:rsidR="00DE040B">
        <w:t xml:space="preserve">. </w:t>
      </w:r>
    </w:p>
    <w:p w14:paraId="760C7125" w14:textId="0F8A7523" w:rsidR="00D118A1" w:rsidRPr="00DB0D05" w:rsidRDefault="7064C745" w:rsidP="04E25C58">
      <w:pPr>
        <w:numPr>
          <w:ilvl w:val="1"/>
          <w:numId w:val="1"/>
        </w:numPr>
      </w:pPr>
      <w:r>
        <w:t>Where overseas courses are sig</w:t>
      </w:r>
      <w:r w:rsidR="7A44A2D3">
        <w:t>nificantly</w:t>
      </w:r>
      <w:r>
        <w:t xml:space="preserve"> cheaper than UK courses (</w:t>
      </w:r>
      <w:r w:rsidR="519652CB">
        <w:t>e.g.</w:t>
      </w:r>
      <w:r>
        <w:t xml:space="preserve"> microsurgery course)</w:t>
      </w:r>
      <w:r w:rsidR="6755C6C4">
        <w:t xml:space="preserve"> </w:t>
      </w:r>
      <w:r>
        <w:t>fund</w:t>
      </w:r>
      <w:r w:rsidR="033A101F">
        <w:t>ing</w:t>
      </w:r>
      <w:r>
        <w:t xml:space="preserve"> / contribut</w:t>
      </w:r>
      <w:r w:rsidR="52065163">
        <w:t>ion</w:t>
      </w:r>
      <w:r>
        <w:t xml:space="preserve"> to travel up to level of UK course</w:t>
      </w:r>
      <w:r w:rsidR="2D8C83A9">
        <w:t xml:space="preserve"> fee will be considered.</w:t>
      </w:r>
      <w:r>
        <w:t xml:space="preserve"> </w:t>
      </w:r>
      <w:r w:rsidR="00DE040B">
        <w:t>Proof of this should be provided by the applicant.</w:t>
      </w:r>
    </w:p>
    <w:p w14:paraId="61972E94" w14:textId="3B90B4F7" w:rsidR="00DB0D05" w:rsidRPr="00DB0D05" w:rsidRDefault="00DB0D05" w:rsidP="00DB0D05">
      <w:pPr>
        <w:numPr>
          <w:ilvl w:val="0"/>
          <w:numId w:val="1"/>
        </w:numPr>
      </w:pPr>
      <w:r>
        <w:t>Funding for attending conferences is only likely to be granted for the 1</w:t>
      </w:r>
      <w:r w:rsidRPr="04E25C58">
        <w:rPr>
          <w:vertAlign w:val="superscript"/>
        </w:rPr>
        <w:t>st</w:t>
      </w:r>
      <w:r>
        <w:t xml:space="preserve"> author giving an </w:t>
      </w:r>
      <w:r w:rsidR="009F715D">
        <w:t>o</w:t>
      </w:r>
      <w:r>
        <w:t xml:space="preserve">ral </w:t>
      </w:r>
      <w:r w:rsidR="00DD3682">
        <w:t xml:space="preserve">podium </w:t>
      </w:r>
      <w:r>
        <w:t>presentation</w:t>
      </w:r>
      <w:r w:rsidR="256A7FF4">
        <w:t xml:space="preserve"> (or a contributor presenting if the 1st author is unable to attend)</w:t>
      </w:r>
      <w:r>
        <w:t>.</w:t>
      </w:r>
      <w:r w:rsidR="00DD3682">
        <w:t xml:space="preserve"> Oral poster presentations </w:t>
      </w:r>
      <w:r w:rsidR="00DE040B">
        <w:t>might</w:t>
      </w:r>
      <w:r w:rsidR="00DD3682">
        <w:t xml:space="preserve"> not attract any remuneration</w:t>
      </w:r>
      <w:r w:rsidR="00DE040B">
        <w:t xml:space="preserve">, however at the discretion of the </w:t>
      </w:r>
      <w:proofErr w:type="spellStart"/>
      <w:r w:rsidR="00BD2ED3">
        <w:t>HoS</w:t>
      </w:r>
      <w:proofErr w:type="spellEnd"/>
      <w:r w:rsidR="00BD2ED3">
        <w:t>/</w:t>
      </w:r>
      <w:r w:rsidR="00BD2ED3" w:rsidRPr="00BD2ED3">
        <w:t xml:space="preserve"> </w:t>
      </w:r>
      <w:proofErr w:type="spellStart"/>
      <w:r w:rsidR="00BD2ED3">
        <w:t>DyHoS</w:t>
      </w:r>
      <w:proofErr w:type="spellEnd"/>
      <w:r w:rsidR="00BD2ED3">
        <w:t xml:space="preserve"> </w:t>
      </w:r>
      <w:r w:rsidR="00DE040B">
        <w:t>we may approve time/leave only</w:t>
      </w:r>
      <w:r w:rsidR="00DD3682">
        <w:t>.</w:t>
      </w:r>
      <w:r w:rsidR="00DE040B">
        <w:t xml:space="preserve"> </w:t>
      </w:r>
    </w:p>
    <w:p w14:paraId="670C684E" w14:textId="6DDB27BF" w:rsidR="00DD3682" w:rsidRDefault="00DB0D05" w:rsidP="00DD3682">
      <w:pPr>
        <w:numPr>
          <w:ilvl w:val="0"/>
          <w:numId w:val="1"/>
        </w:numPr>
      </w:pPr>
      <w:r w:rsidRPr="00DB0D05">
        <w:t xml:space="preserve">Non-UK conferences </w:t>
      </w:r>
      <w:r w:rsidR="00DE040B">
        <w:t>may</w:t>
      </w:r>
      <w:r w:rsidR="00B90833">
        <w:t xml:space="preserve"> be</w:t>
      </w:r>
      <w:r w:rsidRPr="00DB0D05">
        <w:t xml:space="preserve"> eligible for a </w:t>
      </w:r>
      <w:r w:rsidR="00DE040B">
        <w:t xml:space="preserve">maximum </w:t>
      </w:r>
      <w:r w:rsidRPr="00DB0D05">
        <w:t>contribution of £250</w:t>
      </w:r>
      <w:r w:rsidR="00DD3682">
        <w:t xml:space="preserve"> (bursary)</w:t>
      </w:r>
      <w:r w:rsidR="00DE040B">
        <w:t xml:space="preserve">, </w:t>
      </w:r>
      <w:r w:rsidRPr="00DB0D05">
        <w:t>if you are presenting</w:t>
      </w:r>
      <w:r w:rsidR="00DD3682">
        <w:t xml:space="preserve"> an </w:t>
      </w:r>
      <w:r w:rsidR="009F715D">
        <w:t>o</w:t>
      </w:r>
      <w:r w:rsidR="00DD3682">
        <w:t>ral podium presentation</w:t>
      </w:r>
      <w:r w:rsidRPr="00DB0D05">
        <w:t>.</w:t>
      </w:r>
      <w:r w:rsidR="00DD3682">
        <w:t xml:space="preserve"> Poster presentations </w:t>
      </w:r>
      <w:r w:rsidR="00DE040B">
        <w:t>may</w:t>
      </w:r>
      <w:r w:rsidR="00DD3682">
        <w:t xml:space="preserve"> not attract any </w:t>
      </w:r>
      <w:r w:rsidR="009F715D">
        <w:t>funding support</w:t>
      </w:r>
      <w:r w:rsidR="00DD3682">
        <w:t>.</w:t>
      </w:r>
      <w:r w:rsidR="00DE040B">
        <w:t xml:space="preserve"> This can be approved by your TPD.</w:t>
      </w:r>
    </w:p>
    <w:p w14:paraId="4985773C" w14:textId="275C5619" w:rsidR="002E4FEC" w:rsidRPr="002E4FEC" w:rsidRDefault="002E4FEC" w:rsidP="002E4FE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E4FEC">
        <w:rPr>
          <w:color w:val="000000" w:themeColor="text1"/>
        </w:rPr>
        <w:t xml:space="preserve">Trainees who </w:t>
      </w:r>
      <w:r>
        <w:rPr>
          <w:color w:val="000000" w:themeColor="text1"/>
        </w:rPr>
        <w:t>travel to stay</w:t>
      </w:r>
      <w:r w:rsidRPr="002E4FEC">
        <w:rPr>
          <w:color w:val="000000" w:themeColor="text1"/>
        </w:rPr>
        <w:t xml:space="preserve"> a night before or stay the night of course</w:t>
      </w:r>
      <w:r w:rsidR="00DE040B">
        <w:rPr>
          <w:color w:val="000000" w:themeColor="text1"/>
        </w:rPr>
        <w:t>/conference</w:t>
      </w:r>
      <w:r w:rsidRPr="002E4FEC">
        <w:rPr>
          <w:color w:val="000000" w:themeColor="text1"/>
        </w:rPr>
        <w:t xml:space="preserve"> completion </w:t>
      </w:r>
      <w:r w:rsidR="00DE040B">
        <w:rPr>
          <w:color w:val="000000" w:themeColor="text1"/>
        </w:rPr>
        <w:t>may</w:t>
      </w:r>
      <w:r w:rsidRPr="002E4FEC">
        <w:rPr>
          <w:color w:val="000000" w:themeColor="text1"/>
        </w:rPr>
        <w:t xml:space="preserve"> not be remunerated for either</w:t>
      </w:r>
      <w:r>
        <w:rPr>
          <w:color w:val="000000" w:themeColor="text1"/>
        </w:rPr>
        <w:t xml:space="preserve"> accommodation cost</w:t>
      </w:r>
      <w:r w:rsidRPr="002E4FEC">
        <w:rPr>
          <w:color w:val="000000" w:themeColor="text1"/>
        </w:rPr>
        <w:t>.</w:t>
      </w:r>
    </w:p>
    <w:p w14:paraId="7FF644B8" w14:textId="7920B59F" w:rsidR="002E4FEC" w:rsidRPr="002E4FEC" w:rsidRDefault="002E4FEC" w:rsidP="008322D5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</w:rPr>
      </w:pPr>
      <w:r w:rsidRPr="04E25C58">
        <w:rPr>
          <w:color w:val="000000" w:themeColor="text1"/>
        </w:rPr>
        <w:t xml:space="preserve">When the course provides lunch or meals, any claim for the cost of these meals should not be submitted (they will not be approved). </w:t>
      </w:r>
    </w:p>
    <w:p w14:paraId="25B75536" w14:textId="687FDDD5" w:rsidR="002E4FEC" w:rsidRPr="002E4FEC" w:rsidRDefault="002E4FEC" w:rsidP="002E4FE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E4FEC">
        <w:rPr>
          <w:color w:val="000000" w:themeColor="text1"/>
          <w:lang w:val="en-US"/>
        </w:rPr>
        <w:lastRenderedPageBreak/>
        <w:t>Travel by train or coach should be booked a minimum of four weeks in advance by purchasing standard class tickets for a specific date and specific train</w:t>
      </w:r>
      <w:r w:rsidR="00DE040B">
        <w:rPr>
          <w:color w:val="000000" w:themeColor="text1"/>
          <w:lang w:val="en-US"/>
        </w:rPr>
        <w:t xml:space="preserve">, </w:t>
      </w:r>
      <w:r w:rsidR="00DE040B" w:rsidRPr="00DE040B">
        <w:rPr>
          <w:color w:val="000000" w:themeColor="text1"/>
          <w:u w:val="single"/>
          <w:lang w:val="en-US"/>
        </w:rPr>
        <w:t>after approval of study leave</w:t>
      </w:r>
      <w:r w:rsidRPr="002E4FEC">
        <w:rPr>
          <w:color w:val="000000" w:themeColor="text1"/>
          <w:lang w:val="en-US"/>
        </w:rPr>
        <w:t>. Open or first-class tickets will not be reimbursed.</w:t>
      </w:r>
    </w:p>
    <w:p w14:paraId="054CB098" w14:textId="2C06C584" w:rsidR="002E4FEC" w:rsidRPr="002E4FEC" w:rsidRDefault="002E4FEC" w:rsidP="002E4FE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Mileage </w:t>
      </w:r>
      <w:r w:rsidR="00DE040B">
        <w:rPr>
          <w:color w:val="000000" w:themeColor="text1"/>
        </w:rPr>
        <w:t>may</w:t>
      </w:r>
      <w:r>
        <w:rPr>
          <w:color w:val="000000" w:themeColor="text1"/>
        </w:rPr>
        <w:t xml:space="preserve"> be reimbursed</w:t>
      </w:r>
      <w:r w:rsidR="0096099D">
        <w:rPr>
          <w:color w:val="000000" w:themeColor="text1"/>
        </w:rPr>
        <w:t xml:space="preserve"> as per the reserve rate outlined in the NHS T&amp;Cs.</w:t>
      </w:r>
    </w:p>
    <w:p w14:paraId="7FE2C7F1" w14:textId="11C746B0" w:rsidR="00DB0D05" w:rsidRPr="00DB0D05" w:rsidRDefault="002E4FEC" w:rsidP="04E25C5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4E25C58">
        <w:rPr>
          <w:color w:val="000000" w:themeColor="text1"/>
        </w:rPr>
        <w:t xml:space="preserve">Conference dinners and social events </w:t>
      </w:r>
      <w:r w:rsidR="73BFFC8C" w:rsidRPr="04E25C58">
        <w:rPr>
          <w:color w:val="000000" w:themeColor="text1"/>
        </w:rPr>
        <w:t xml:space="preserve">will </w:t>
      </w:r>
      <w:r w:rsidRPr="04E25C58">
        <w:rPr>
          <w:color w:val="000000" w:themeColor="text1"/>
        </w:rPr>
        <w:t>not be reimbursed under meal expenses or with the conference fees. Membership fees paid when booking course / conferences are also not eligible for reimbursement.</w:t>
      </w:r>
    </w:p>
    <w:p w14:paraId="5E57B03A" w14:textId="77777777" w:rsidR="00352E6D" w:rsidRDefault="00352E6D"/>
    <w:p w14:paraId="3948CFD2" w14:textId="77777777" w:rsidR="00DB0D05" w:rsidRPr="00DB0D05" w:rsidRDefault="00DB0D05" w:rsidP="00DB0D05">
      <w:pPr>
        <w:rPr>
          <w:u w:val="single"/>
        </w:rPr>
      </w:pPr>
      <w:r w:rsidRPr="00DB0D05">
        <w:rPr>
          <w:u w:val="single"/>
        </w:rPr>
        <w:t>Study Leave for Exam Preparation</w:t>
      </w:r>
    </w:p>
    <w:p w14:paraId="1C65FE42" w14:textId="77777777" w:rsidR="00DB0D05" w:rsidRDefault="00DB0D05" w:rsidP="00DB0D05"/>
    <w:p w14:paraId="39598D5F" w14:textId="435EB4CF" w:rsidR="00DB0D05" w:rsidRDefault="00DB0D05" w:rsidP="00DB0D05">
      <w:r>
        <w:t>Trainees are permitted to take a maximum of </w:t>
      </w:r>
      <w:r w:rsidRPr="04E25C58">
        <w:rPr>
          <w:b/>
          <w:bCs/>
        </w:rPr>
        <w:t>five days</w:t>
      </w:r>
      <w:r>
        <w:t> study leave </w:t>
      </w:r>
      <w:r w:rsidRPr="04E25C58">
        <w:rPr>
          <w:b/>
          <w:bCs/>
        </w:rPr>
        <w:t xml:space="preserve">per </w:t>
      </w:r>
      <w:r w:rsidR="09ED386B" w:rsidRPr="04E25C58">
        <w:rPr>
          <w:b/>
          <w:bCs/>
        </w:rPr>
        <w:t xml:space="preserve">year </w:t>
      </w:r>
      <w:r w:rsidR="09ED386B">
        <w:t>for</w:t>
      </w:r>
      <w:r>
        <w:t xml:space="preserve"> exam preparation, at the discretion of the </w:t>
      </w:r>
      <w:r w:rsidR="6E56DE34">
        <w:t>Training Programme Director</w:t>
      </w:r>
      <w:r>
        <w:t>.</w:t>
      </w:r>
      <w:r w:rsidR="41DE387E">
        <w:t xml:space="preserve"> Agreement and support from the NHS trust where the trainee is based will be required.</w:t>
      </w:r>
    </w:p>
    <w:p w14:paraId="27579C71" w14:textId="77777777" w:rsidR="006D125D" w:rsidRPr="00DB0D05" w:rsidRDefault="006D125D" w:rsidP="00DB0D05"/>
    <w:p w14:paraId="30FB5937" w14:textId="24FF0812" w:rsidR="00DB0D05" w:rsidRPr="009F715D" w:rsidRDefault="00DB0D05" w:rsidP="009F715D">
      <w:pPr>
        <w:rPr>
          <w:color w:val="4C94D8" w:themeColor="text2" w:themeTint="80"/>
        </w:rPr>
      </w:pPr>
      <w:r>
        <w:t xml:space="preserve">Please remember that </w:t>
      </w:r>
      <w:r w:rsidR="006D125D">
        <w:t xml:space="preserve">NHSE </w:t>
      </w:r>
      <w:r>
        <w:t>YH</w:t>
      </w:r>
      <w:r w:rsidR="00195154">
        <w:t xml:space="preserve"> School of Surgery</w:t>
      </w:r>
      <w:r>
        <w:t xml:space="preserve"> </w:t>
      </w:r>
      <w:r w:rsidR="00DE040B">
        <w:t>may</w:t>
      </w:r>
      <w:r>
        <w:t xml:space="preserve"> not fund exam preparation courses</w:t>
      </w:r>
      <w:r w:rsidR="006D125D">
        <w:t xml:space="preserve"> in general</w:t>
      </w:r>
      <w:r w:rsidR="00195154">
        <w:t xml:space="preserve"> as this aspect of the curriculum will be delivered through the structured regional (and/or national) training/teaching programmes</w:t>
      </w:r>
      <w:r w:rsidR="006D125D">
        <w:t xml:space="preserve">. </w:t>
      </w:r>
      <w:r w:rsidR="00DD3682">
        <w:t xml:space="preserve">There is no remuneration for Exam </w:t>
      </w:r>
      <w:r w:rsidR="008322D5">
        <w:t xml:space="preserve">fee </w:t>
      </w:r>
      <w:r w:rsidR="00DD3682">
        <w:t>applications</w:t>
      </w:r>
      <w:r w:rsidR="009F715D">
        <w:t>.</w:t>
      </w:r>
      <w:r w:rsidR="00BD2ED3" w:rsidRPr="00BD2ED3">
        <w:t xml:space="preserve"> </w:t>
      </w:r>
      <w:r w:rsidR="00BD2ED3">
        <w:t>Travel and subsistence can usually be claimed from the study leave budget for sitting exams required within an individual’s current curriculum.</w:t>
      </w:r>
    </w:p>
    <w:p w14:paraId="028BF8A6" w14:textId="77777777" w:rsidR="00A402A4" w:rsidRDefault="00A402A4" w:rsidP="00DB0D05">
      <w:pPr>
        <w:rPr>
          <w:u w:val="single"/>
        </w:rPr>
      </w:pPr>
    </w:p>
    <w:p w14:paraId="63600876" w14:textId="262A7FAA" w:rsidR="009F715D" w:rsidRDefault="00DB0D05" w:rsidP="00DB0D05">
      <w:pPr>
        <w:rPr>
          <w:u w:val="single"/>
        </w:rPr>
      </w:pPr>
      <w:r w:rsidRPr="04E25C58">
        <w:rPr>
          <w:u w:val="single"/>
        </w:rPr>
        <w:t xml:space="preserve">Subspecialty courses </w:t>
      </w:r>
    </w:p>
    <w:p w14:paraId="02289E6F" w14:textId="77777777" w:rsidR="008322D5" w:rsidRDefault="008322D5" w:rsidP="00DB0D05">
      <w:pPr>
        <w:rPr>
          <w:u w:val="single"/>
        </w:rPr>
      </w:pPr>
    </w:p>
    <w:p w14:paraId="62309C40" w14:textId="6DF3E25D" w:rsidR="009F715D" w:rsidRDefault="009F715D" w:rsidP="009F715D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Core Surgical Training (and ST1-2 Neurosurgery and Cardiothoracic Surgery)</w:t>
      </w:r>
    </w:p>
    <w:p w14:paraId="68F48622" w14:textId="77777777" w:rsidR="009F715D" w:rsidRDefault="009F715D" w:rsidP="009F715D">
      <w:pPr>
        <w:rPr>
          <w:u w:val="single"/>
        </w:rPr>
      </w:pPr>
    </w:p>
    <w:p w14:paraId="20CB8C83" w14:textId="0AC87007" w:rsidR="009F715D" w:rsidRPr="009F715D" w:rsidRDefault="009F715D" w:rsidP="009F715D">
      <w:r>
        <w:t>In addition to</w:t>
      </w:r>
      <w:r w:rsidRPr="009F715D">
        <w:t xml:space="preserve"> ATLS, BSS</w:t>
      </w:r>
      <w:r>
        <w:t xml:space="preserve"> and </w:t>
      </w:r>
      <w:proofErr w:type="spellStart"/>
      <w:r w:rsidRPr="009F715D">
        <w:t>CC</w:t>
      </w:r>
      <w:r>
        <w:t>r</w:t>
      </w:r>
      <w:r w:rsidRPr="009F715D">
        <w:t>ISP</w:t>
      </w:r>
      <w:proofErr w:type="spellEnd"/>
      <w:r w:rsidR="00DE040B">
        <w:t>/RAPID</w:t>
      </w:r>
      <w:r>
        <w:t>. CSTs are advised that</w:t>
      </w:r>
      <w:r w:rsidRPr="009F715D">
        <w:t xml:space="preserve"> a subspecialty course that would help build their CV towards ST3 application</w:t>
      </w:r>
      <w:r>
        <w:t xml:space="preserve"> will be supported</w:t>
      </w:r>
      <w:r w:rsidRPr="009F715D">
        <w:t xml:space="preserve">. </w:t>
      </w:r>
      <w:r>
        <w:t>Suggested courses include</w:t>
      </w:r>
      <w:r w:rsidRPr="009F715D">
        <w:t xml:space="preserve"> – </w:t>
      </w:r>
    </w:p>
    <w:p w14:paraId="12E9ADA2" w14:textId="6EB1046D" w:rsidR="009F715D" w:rsidRDefault="009F715D" w:rsidP="009F715D">
      <w:r w:rsidRPr="009F715D">
        <w:t>EMSB (</w:t>
      </w:r>
      <w:r>
        <w:t>P</w:t>
      </w:r>
      <w:r w:rsidRPr="009F715D">
        <w:t>lastic</w:t>
      </w:r>
      <w:r>
        <w:t xml:space="preserve"> Surgery</w:t>
      </w:r>
      <w:r w:rsidRPr="009F715D">
        <w:t>), APLS/PALS (</w:t>
      </w:r>
      <w:proofErr w:type="spellStart"/>
      <w:r>
        <w:t>P</w:t>
      </w:r>
      <w:r w:rsidRPr="009F715D">
        <w:t>aeds</w:t>
      </w:r>
      <w:proofErr w:type="spellEnd"/>
      <w:r w:rsidRPr="009F715D">
        <w:t>/ENT), Basic/generic fracture management (T&amp;O), ALERT and 2 ENT craft courses (ENT), ALERT (OMFS), Core skills in C</w:t>
      </w:r>
      <w:r>
        <w:t xml:space="preserve">ardiothoracic </w:t>
      </w:r>
      <w:r w:rsidRPr="009F715D">
        <w:t>S</w:t>
      </w:r>
      <w:r>
        <w:t>urgery</w:t>
      </w:r>
      <w:r w:rsidRPr="009F715D">
        <w:t xml:space="preserve"> (CTS), T</w:t>
      </w:r>
      <w:r>
        <w:t xml:space="preserve">raining the </w:t>
      </w:r>
      <w:r w:rsidRPr="009F715D">
        <w:t>T</w:t>
      </w:r>
      <w:r>
        <w:t>rainers</w:t>
      </w:r>
      <w:r w:rsidRPr="009F715D">
        <w:t xml:space="preserve"> (General/</w:t>
      </w:r>
      <w:r>
        <w:t>V</w:t>
      </w:r>
      <w:r w:rsidRPr="009F715D">
        <w:t>ascular/</w:t>
      </w:r>
      <w:r>
        <w:t>N</w:t>
      </w:r>
      <w:r w:rsidRPr="009F715D">
        <w:t>euro).</w:t>
      </w:r>
    </w:p>
    <w:p w14:paraId="11AFFCCF" w14:textId="77777777" w:rsidR="009F715D" w:rsidRDefault="009F715D" w:rsidP="009F715D"/>
    <w:p w14:paraId="4EBC0E0D" w14:textId="39C2B9EB" w:rsidR="009F715D" w:rsidRDefault="009F715D" w:rsidP="009F715D">
      <w:r w:rsidRPr="009F715D">
        <w:t>CSTs who ha</w:t>
      </w:r>
      <w:r w:rsidR="00DE040B">
        <w:t>ve</w:t>
      </w:r>
      <w:r w:rsidRPr="009F715D">
        <w:t xml:space="preserve"> already </w:t>
      </w:r>
      <w:r w:rsidR="00DE040B">
        <w:t>completed</w:t>
      </w:r>
      <w:r w:rsidRPr="009F715D">
        <w:t xml:space="preserve"> ATLS and BSS prior to joining core training</w:t>
      </w:r>
      <w:r>
        <w:t xml:space="preserve"> </w:t>
      </w:r>
      <w:r w:rsidR="00DE040B">
        <w:t>may be allowed</w:t>
      </w:r>
      <w:r w:rsidRPr="009F715D">
        <w:t xml:space="preserve"> to attend </w:t>
      </w:r>
      <w:r>
        <w:t xml:space="preserve">a </w:t>
      </w:r>
      <w:r w:rsidRPr="009F715D">
        <w:t>training the trainer (TTT) course</w:t>
      </w:r>
      <w:r w:rsidR="00DE040B">
        <w:t xml:space="preserve"> at the discretion of the TPD/</w:t>
      </w:r>
      <w:proofErr w:type="spellStart"/>
      <w:r w:rsidR="00DE040B">
        <w:t>DyHoS</w:t>
      </w:r>
      <w:proofErr w:type="spellEnd"/>
      <w:r w:rsidR="00DE040B">
        <w:t>/</w:t>
      </w:r>
      <w:proofErr w:type="spellStart"/>
      <w:r w:rsidR="00DE040B">
        <w:t>HoS</w:t>
      </w:r>
      <w:r>
        <w:t>.</w:t>
      </w:r>
      <w:proofErr w:type="spellEnd"/>
    </w:p>
    <w:p w14:paraId="3A40B0C2" w14:textId="77777777" w:rsidR="009F715D" w:rsidRDefault="009F715D" w:rsidP="009F715D"/>
    <w:p w14:paraId="7EABDCE6" w14:textId="2687F57B" w:rsidR="009F715D" w:rsidRPr="009F715D" w:rsidRDefault="009F715D" w:rsidP="009F715D">
      <w:pPr>
        <w:pStyle w:val="ListParagraph"/>
        <w:numPr>
          <w:ilvl w:val="0"/>
          <w:numId w:val="5"/>
        </w:numPr>
      </w:pPr>
      <w:r>
        <w:rPr>
          <w:u w:val="single"/>
        </w:rPr>
        <w:t>Specialty Training (ST3-ST8)</w:t>
      </w:r>
    </w:p>
    <w:p w14:paraId="70F21D67" w14:textId="77777777" w:rsidR="00B90833" w:rsidRDefault="00B90833"/>
    <w:p w14:paraId="41F0E806" w14:textId="0A34D20B" w:rsidR="001D63B8" w:rsidRDefault="00DE040B" w:rsidP="04E25C58">
      <w:pPr>
        <w:rPr>
          <w:color w:val="000000" w:themeColor="text1"/>
        </w:rPr>
      </w:pPr>
      <w:r w:rsidRPr="04E25C58">
        <w:rPr>
          <w:color w:val="000000" w:themeColor="text1"/>
        </w:rPr>
        <w:t>C</w:t>
      </w:r>
      <w:r w:rsidR="006D125D" w:rsidRPr="04E25C58">
        <w:rPr>
          <w:color w:val="000000" w:themeColor="text1"/>
        </w:rPr>
        <w:t xml:space="preserve">ourses </w:t>
      </w:r>
      <w:r w:rsidRPr="04E25C58">
        <w:rPr>
          <w:color w:val="000000" w:themeColor="text1"/>
        </w:rPr>
        <w:t xml:space="preserve">that </w:t>
      </w:r>
      <w:r w:rsidR="006D125D" w:rsidRPr="04E25C58">
        <w:rPr>
          <w:color w:val="000000" w:themeColor="text1"/>
        </w:rPr>
        <w:t xml:space="preserve">do not fall in the remit of </w:t>
      </w:r>
      <w:r w:rsidR="00635543">
        <w:rPr>
          <w:color w:val="000000" w:themeColor="text1"/>
        </w:rPr>
        <w:t xml:space="preserve">specialty </w:t>
      </w:r>
      <w:r w:rsidR="006D125D" w:rsidRPr="04E25C58">
        <w:rPr>
          <w:color w:val="000000" w:themeColor="text1"/>
        </w:rPr>
        <w:t xml:space="preserve">core curriculum will need </w:t>
      </w:r>
      <w:r w:rsidR="00B90833" w:rsidRPr="04E25C58">
        <w:rPr>
          <w:color w:val="000000" w:themeColor="text1"/>
        </w:rPr>
        <w:t xml:space="preserve">review and </w:t>
      </w:r>
      <w:r w:rsidRPr="04E25C58">
        <w:rPr>
          <w:color w:val="000000" w:themeColor="text1"/>
        </w:rPr>
        <w:t xml:space="preserve">prior </w:t>
      </w:r>
      <w:r w:rsidR="006D125D" w:rsidRPr="04E25C58">
        <w:rPr>
          <w:color w:val="000000" w:themeColor="text1"/>
        </w:rPr>
        <w:t xml:space="preserve">approval </w:t>
      </w:r>
      <w:r w:rsidRPr="04E25C58">
        <w:rPr>
          <w:color w:val="000000" w:themeColor="text1"/>
        </w:rPr>
        <w:t xml:space="preserve">by the </w:t>
      </w:r>
      <w:proofErr w:type="spellStart"/>
      <w:r w:rsidR="00BD2ED3" w:rsidRPr="00BD2ED3">
        <w:t>HoS</w:t>
      </w:r>
      <w:proofErr w:type="spellEnd"/>
      <w:r w:rsidR="00BD2ED3">
        <w:t>/</w:t>
      </w:r>
      <w:proofErr w:type="spellStart"/>
      <w:r w:rsidR="00BD2ED3">
        <w:t>DyHoS</w:t>
      </w:r>
      <w:proofErr w:type="spellEnd"/>
      <w:r w:rsidR="006D125D" w:rsidRPr="04E25C58">
        <w:rPr>
          <w:color w:val="000000" w:themeColor="text1"/>
        </w:rPr>
        <w:t>.</w:t>
      </w:r>
    </w:p>
    <w:p w14:paraId="0C073BB1" w14:textId="6CA98541" w:rsidR="04E25C58" w:rsidRDefault="04E25C58" w:rsidP="04E25C58">
      <w:pPr>
        <w:rPr>
          <w:color w:val="000000" w:themeColor="text1"/>
        </w:rPr>
      </w:pPr>
    </w:p>
    <w:p w14:paraId="160DF3F0" w14:textId="7CD2544F" w:rsidR="00DE040B" w:rsidRPr="002E4FEC" w:rsidRDefault="00DE040B" w:rsidP="04E25C58">
      <w:pPr>
        <w:rPr>
          <w:color w:val="000000" w:themeColor="text1"/>
        </w:rPr>
      </w:pPr>
      <w:r w:rsidRPr="04E25C58">
        <w:rPr>
          <w:color w:val="000000" w:themeColor="text1"/>
        </w:rPr>
        <w:t>These guidelines have been formulated to help ensure that the limited curriculum delivery budget is maximised and distributed optimally.</w:t>
      </w:r>
    </w:p>
    <w:p w14:paraId="405BF2A6" w14:textId="77777777" w:rsidR="00BD2ED3" w:rsidRDefault="00BD2ED3">
      <w:pPr>
        <w:rPr>
          <w:color w:val="000000" w:themeColor="text1"/>
        </w:rPr>
      </w:pPr>
    </w:p>
    <w:p w14:paraId="07388865" w14:textId="77777777" w:rsidR="00BD2ED3" w:rsidRDefault="00BD2ED3">
      <w:pPr>
        <w:rPr>
          <w:color w:val="000000" w:themeColor="text1"/>
        </w:rPr>
      </w:pPr>
    </w:p>
    <w:p w14:paraId="0193A609" w14:textId="227896A9" w:rsidR="00DE040B" w:rsidRPr="002E4FEC" w:rsidRDefault="00DE040B">
      <w:pPr>
        <w:rPr>
          <w:color w:val="000000" w:themeColor="text1"/>
        </w:rPr>
      </w:pPr>
      <w:r w:rsidRPr="04E25C58">
        <w:rPr>
          <w:color w:val="000000" w:themeColor="text1"/>
        </w:rPr>
        <w:t>Date of guidance agreement</w:t>
      </w:r>
      <w:r w:rsidR="24B79A5D" w:rsidRPr="04E25C58">
        <w:rPr>
          <w:color w:val="000000" w:themeColor="text1"/>
        </w:rPr>
        <w:t xml:space="preserve"> at School of Surgery </w:t>
      </w:r>
      <w:proofErr w:type="gramStart"/>
      <w:r w:rsidR="24B79A5D" w:rsidRPr="04E25C58">
        <w:rPr>
          <w:color w:val="000000" w:themeColor="text1"/>
        </w:rPr>
        <w:t xml:space="preserve">Board </w:t>
      </w:r>
      <w:r w:rsidRPr="04E25C58">
        <w:rPr>
          <w:color w:val="000000" w:themeColor="text1"/>
        </w:rPr>
        <w:t>:</w:t>
      </w:r>
      <w:proofErr w:type="gramEnd"/>
      <w:r w:rsidR="0B93E2E0" w:rsidRPr="04E25C58">
        <w:rPr>
          <w:color w:val="000000" w:themeColor="text1"/>
        </w:rPr>
        <w:t xml:space="preserve"> 2024</w:t>
      </w:r>
    </w:p>
    <w:sectPr w:rsidR="00DE040B" w:rsidRPr="002E4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221"/>
    <w:multiLevelType w:val="hybridMultilevel"/>
    <w:tmpl w:val="379A8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F72"/>
    <w:multiLevelType w:val="hybridMultilevel"/>
    <w:tmpl w:val="990CF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098"/>
    <w:multiLevelType w:val="multilevel"/>
    <w:tmpl w:val="ECB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B6E64"/>
    <w:multiLevelType w:val="hybridMultilevel"/>
    <w:tmpl w:val="A336DA26"/>
    <w:lvl w:ilvl="0" w:tplc="9962C0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140AA"/>
    <w:multiLevelType w:val="multilevel"/>
    <w:tmpl w:val="15F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276230">
    <w:abstractNumId w:val="2"/>
  </w:num>
  <w:num w:numId="2" w16cid:durableId="164248984">
    <w:abstractNumId w:val="4"/>
  </w:num>
  <w:num w:numId="3" w16cid:durableId="1017002709">
    <w:abstractNumId w:val="1"/>
  </w:num>
  <w:num w:numId="4" w16cid:durableId="1226842792">
    <w:abstractNumId w:val="3"/>
  </w:num>
  <w:num w:numId="5" w16cid:durableId="156991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05"/>
    <w:rsid w:val="0000610F"/>
    <w:rsid w:val="00013715"/>
    <w:rsid w:val="0002448A"/>
    <w:rsid w:val="000759FC"/>
    <w:rsid w:val="000A1AAE"/>
    <w:rsid w:val="000E05E5"/>
    <w:rsid w:val="0010308D"/>
    <w:rsid w:val="001343D6"/>
    <w:rsid w:val="00141D49"/>
    <w:rsid w:val="0015751E"/>
    <w:rsid w:val="00182F98"/>
    <w:rsid w:val="001917E8"/>
    <w:rsid w:val="00195154"/>
    <w:rsid w:val="001B521F"/>
    <w:rsid w:val="001D63B8"/>
    <w:rsid w:val="00233F8F"/>
    <w:rsid w:val="002E4FEC"/>
    <w:rsid w:val="003032CE"/>
    <w:rsid w:val="00316C33"/>
    <w:rsid w:val="00352E6D"/>
    <w:rsid w:val="00391516"/>
    <w:rsid w:val="003D6463"/>
    <w:rsid w:val="00430ED3"/>
    <w:rsid w:val="00474E77"/>
    <w:rsid w:val="0049315B"/>
    <w:rsid w:val="00495C3B"/>
    <w:rsid w:val="00522367"/>
    <w:rsid w:val="0052482D"/>
    <w:rsid w:val="00541CFE"/>
    <w:rsid w:val="00553F5F"/>
    <w:rsid w:val="005628EE"/>
    <w:rsid w:val="00567893"/>
    <w:rsid w:val="005A396F"/>
    <w:rsid w:val="005A6E5B"/>
    <w:rsid w:val="005B2098"/>
    <w:rsid w:val="005B4D08"/>
    <w:rsid w:val="005B63C2"/>
    <w:rsid w:val="005C42C8"/>
    <w:rsid w:val="0062277E"/>
    <w:rsid w:val="00634663"/>
    <w:rsid w:val="00635543"/>
    <w:rsid w:val="006365A0"/>
    <w:rsid w:val="006D125D"/>
    <w:rsid w:val="006E66E6"/>
    <w:rsid w:val="006F25CE"/>
    <w:rsid w:val="00732F57"/>
    <w:rsid w:val="00757AEE"/>
    <w:rsid w:val="007E66D0"/>
    <w:rsid w:val="007F28FC"/>
    <w:rsid w:val="008322D5"/>
    <w:rsid w:val="00856760"/>
    <w:rsid w:val="008A07ED"/>
    <w:rsid w:val="008B41C7"/>
    <w:rsid w:val="009044AC"/>
    <w:rsid w:val="00905508"/>
    <w:rsid w:val="00936746"/>
    <w:rsid w:val="0096099D"/>
    <w:rsid w:val="00994BFF"/>
    <w:rsid w:val="009C3FE7"/>
    <w:rsid w:val="009F715D"/>
    <w:rsid w:val="00A032A8"/>
    <w:rsid w:val="00A402A4"/>
    <w:rsid w:val="00A44ECB"/>
    <w:rsid w:val="00A5108A"/>
    <w:rsid w:val="00A61B2D"/>
    <w:rsid w:val="00A713FA"/>
    <w:rsid w:val="00AA79E6"/>
    <w:rsid w:val="00AB20F9"/>
    <w:rsid w:val="00AD6742"/>
    <w:rsid w:val="00B151BE"/>
    <w:rsid w:val="00B32FEE"/>
    <w:rsid w:val="00B90833"/>
    <w:rsid w:val="00BB1E5D"/>
    <w:rsid w:val="00BD2ED3"/>
    <w:rsid w:val="00BF4B48"/>
    <w:rsid w:val="00BF50DF"/>
    <w:rsid w:val="00C009FF"/>
    <w:rsid w:val="00C144F7"/>
    <w:rsid w:val="00C271EB"/>
    <w:rsid w:val="00C34057"/>
    <w:rsid w:val="00C4567D"/>
    <w:rsid w:val="00C932F1"/>
    <w:rsid w:val="00CE7007"/>
    <w:rsid w:val="00D118A1"/>
    <w:rsid w:val="00D365E9"/>
    <w:rsid w:val="00D853DE"/>
    <w:rsid w:val="00DA0CF7"/>
    <w:rsid w:val="00DB0D05"/>
    <w:rsid w:val="00DC531A"/>
    <w:rsid w:val="00DD3682"/>
    <w:rsid w:val="00DE040B"/>
    <w:rsid w:val="00DE0A3F"/>
    <w:rsid w:val="00DE37ED"/>
    <w:rsid w:val="00DE42E6"/>
    <w:rsid w:val="00E41C27"/>
    <w:rsid w:val="00E4504B"/>
    <w:rsid w:val="00E521BD"/>
    <w:rsid w:val="00E6660C"/>
    <w:rsid w:val="00E8101F"/>
    <w:rsid w:val="00EE0F00"/>
    <w:rsid w:val="00EE7E63"/>
    <w:rsid w:val="00EF4584"/>
    <w:rsid w:val="00F01D54"/>
    <w:rsid w:val="00F56DD1"/>
    <w:rsid w:val="00FA2C02"/>
    <w:rsid w:val="00FD1A13"/>
    <w:rsid w:val="00FD56AC"/>
    <w:rsid w:val="00FD7235"/>
    <w:rsid w:val="02BF6669"/>
    <w:rsid w:val="033A101F"/>
    <w:rsid w:val="04E25C58"/>
    <w:rsid w:val="05AA5814"/>
    <w:rsid w:val="09503C52"/>
    <w:rsid w:val="0989B891"/>
    <w:rsid w:val="09ED386B"/>
    <w:rsid w:val="0AA8FBB6"/>
    <w:rsid w:val="0B93E2E0"/>
    <w:rsid w:val="0E6374FA"/>
    <w:rsid w:val="0E91A0A0"/>
    <w:rsid w:val="0F4014DB"/>
    <w:rsid w:val="106325CC"/>
    <w:rsid w:val="148CB487"/>
    <w:rsid w:val="15A6E3AE"/>
    <w:rsid w:val="1712EF88"/>
    <w:rsid w:val="1993D0E6"/>
    <w:rsid w:val="19DACF29"/>
    <w:rsid w:val="1B59EBA2"/>
    <w:rsid w:val="1C9A378D"/>
    <w:rsid w:val="23EF35A8"/>
    <w:rsid w:val="24B79A5D"/>
    <w:rsid w:val="256A7FF4"/>
    <w:rsid w:val="28E7B942"/>
    <w:rsid w:val="2A053496"/>
    <w:rsid w:val="2A681F13"/>
    <w:rsid w:val="2A981A06"/>
    <w:rsid w:val="2B237D7B"/>
    <w:rsid w:val="2C511DD9"/>
    <w:rsid w:val="2D8C83A9"/>
    <w:rsid w:val="31698A5C"/>
    <w:rsid w:val="322C82C9"/>
    <w:rsid w:val="36778721"/>
    <w:rsid w:val="36CDFB6D"/>
    <w:rsid w:val="37E1E641"/>
    <w:rsid w:val="389DC7B6"/>
    <w:rsid w:val="39A45545"/>
    <w:rsid w:val="39B2D54B"/>
    <w:rsid w:val="3C7DDBCB"/>
    <w:rsid w:val="404DA3F5"/>
    <w:rsid w:val="40BCE58E"/>
    <w:rsid w:val="41DE387E"/>
    <w:rsid w:val="4202B7C2"/>
    <w:rsid w:val="431A8D08"/>
    <w:rsid w:val="4502646C"/>
    <w:rsid w:val="4599D05F"/>
    <w:rsid w:val="46396DE1"/>
    <w:rsid w:val="48B2FC6D"/>
    <w:rsid w:val="49B42794"/>
    <w:rsid w:val="519652CB"/>
    <w:rsid w:val="52065163"/>
    <w:rsid w:val="5285BD45"/>
    <w:rsid w:val="5371A93E"/>
    <w:rsid w:val="55546058"/>
    <w:rsid w:val="55688DA8"/>
    <w:rsid w:val="569CA3C0"/>
    <w:rsid w:val="58F48A16"/>
    <w:rsid w:val="5A18FAA8"/>
    <w:rsid w:val="5BF84A57"/>
    <w:rsid w:val="5D28E2EE"/>
    <w:rsid w:val="5F7F75FC"/>
    <w:rsid w:val="62BE061D"/>
    <w:rsid w:val="6755C6C4"/>
    <w:rsid w:val="68B0B608"/>
    <w:rsid w:val="69972316"/>
    <w:rsid w:val="69FAF0A3"/>
    <w:rsid w:val="6CFCB94A"/>
    <w:rsid w:val="6E56DE34"/>
    <w:rsid w:val="7064C745"/>
    <w:rsid w:val="724CC803"/>
    <w:rsid w:val="72A513E0"/>
    <w:rsid w:val="73BFFC8C"/>
    <w:rsid w:val="74A46729"/>
    <w:rsid w:val="76693854"/>
    <w:rsid w:val="7A44A2D3"/>
    <w:rsid w:val="7C382504"/>
    <w:rsid w:val="7EC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F102"/>
  <w15:chartTrackingRefBased/>
  <w15:docId w15:val="{92B978E1-D5DF-F54B-B69C-2AE4F4EB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D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D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D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D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7235"/>
  </w:style>
  <w:style w:type="character" w:customStyle="1" w:styleId="Heading1Char">
    <w:name w:val="Heading 1 Char"/>
    <w:basedOn w:val="DefaultParagraphFont"/>
    <w:link w:val="Heading1"/>
    <w:uiPriority w:val="9"/>
    <w:rsid w:val="00DB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D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D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83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8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20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rksandhumberdeanery.nhs.uk/professional-support/policies/study-lea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Michael Wing Sung (LEEDS TEACHING HOSPITALS NHS TRUST)</dc:creator>
  <cp:keywords/>
  <dc:description/>
  <cp:lastModifiedBy>HO, Michael Wing Sung (LEEDS TEACHING HOSPITALS NHS TRUST)</cp:lastModifiedBy>
  <cp:revision>3</cp:revision>
  <dcterms:created xsi:type="dcterms:W3CDTF">2024-07-12T15:49:00Z</dcterms:created>
  <dcterms:modified xsi:type="dcterms:W3CDTF">2024-07-12T16:19:00Z</dcterms:modified>
</cp:coreProperties>
</file>