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89" w:rsidRPr="007F2CB8" w:rsidRDefault="002D6889" w:rsidP="00CF767E">
      <w:pPr>
        <w:sectPr w:rsidR="002D6889" w:rsidRPr="007F2CB8" w:rsidSect="00B55B1C">
          <w:headerReference w:type="default" r:id="rId8"/>
          <w:footerReference w:type="even" r:id="rId9"/>
          <w:footerReference w:type="default" r:id="rId10"/>
          <w:headerReference w:type="first" r:id="rId11"/>
          <w:footerReference w:type="first" r:id="rId12"/>
          <w:type w:val="continuous"/>
          <w:pgSz w:w="11900" w:h="16840"/>
          <w:pgMar w:top="1134" w:right="851" w:bottom="1134" w:left="851" w:header="567" w:footer="567" w:gutter="0"/>
          <w:cols w:space="708"/>
          <w:titlePg/>
          <w:docGrid w:linePitch="360"/>
        </w:sectPr>
      </w:pPr>
      <w:bookmarkStart w:id="0" w:name="_GoBack"/>
      <w:bookmarkEnd w:id="0"/>
    </w:p>
    <w:p w:rsidR="00CF767E" w:rsidRPr="006A0E62" w:rsidRDefault="00CF767E" w:rsidP="00CF767E">
      <w:pPr>
        <w:jc w:val="both"/>
        <w:rPr>
          <w:noProof/>
          <w:sz w:val="20"/>
          <w:szCs w:val="20"/>
          <w:lang w:eastAsia="en-GB"/>
        </w:rPr>
      </w:pPr>
    </w:p>
    <w:p w:rsidR="00BC644F" w:rsidRDefault="00BC644F" w:rsidP="00BC644F">
      <w:pPr>
        <w:jc w:val="center"/>
        <w:rPr>
          <w:rFonts w:cs="Arial"/>
          <w:b/>
          <w:sz w:val="56"/>
          <w:szCs w:val="56"/>
        </w:rPr>
      </w:pPr>
    </w:p>
    <w:p w:rsidR="00BC644F" w:rsidRPr="00C903F8" w:rsidRDefault="00BC644F" w:rsidP="00BC644F">
      <w:pPr>
        <w:pStyle w:val="Default"/>
        <w:rPr>
          <w:rFonts w:ascii="Arial" w:eastAsia="MS Mincho" w:hAnsi="Arial" w:cs="Arial"/>
        </w:rPr>
      </w:pPr>
      <w:r>
        <w:rPr>
          <w:rFonts w:cs="Arial"/>
          <w:b/>
          <w:sz w:val="56"/>
          <w:szCs w:val="56"/>
        </w:rPr>
        <w:t xml:space="preserve"> </w:t>
      </w:r>
    </w:p>
    <w:p w:rsidR="00BC644F" w:rsidRDefault="00BC644F" w:rsidP="00BC644F">
      <w:pPr>
        <w:jc w:val="center"/>
        <w:rPr>
          <w:rFonts w:cs="Arial"/>
          <w:color w:val="000000"/>
          <w:lang w:eastAsia="en-GB"/>
        </w:rPr>
      </w:pPr>
    </w:p>
    <w:p w:rsidR="00BC644F" w:rsidRDefault="00BC644F" w:rsidP="00BC644F">
      <w:pPr>
        <w:jc w:val="center"/>
        <w:rPr>
          <w:rFonts w:cs="Arial"/>
          <w:color w:val="000000"/>
          <w:lang w:eastAsia="en-GB"/>
        </w:rPr>
      </w:pPr>
    </w:p>
    <w:p w:rsidR="00BC644F" w:rsidRDefault="00BC644F" w:rsidP="00BC644F">
      <w:pPr>
        <w:jc w:val="center"/>
        <w:rPr>
          <w:rFonts w:cs="Arial"/>
          <w:color w:val="000000"/>
          <w:lang w:eastAsia="en-GB"/>
        </w:rPr>
      </w:pPr>
    </w:p>
    <w:p w:rsidR="00BC644F" w:rsidRDefault="00BC644F" w:rsidP="00BC644F">
      <w:pPr>
        <w:jc w:val="center"/>
        <w:rPr>
          <w:rFonts w:cs="Arial"/>
          <w:b/>
          <w:color w:val="A00054"/>
          <w:sz w:val="64"/>
          <w:szCs w:val="64"/>
        </w:rPr>
      </w:pPr>
      <w:r>
        <w:rPr>
          <w:rFonts w:cs="Arial"/>
          <w:b/>
          <w:color w:val="A00054"/>
          <w:sz w:val="64"/>
          <w:szCs w:val="64"/>
        </w:rPr>
        <w:t xml:space="preserve">Quality </w:t>
      </w:r>
      <w:r w:rsidR="00F304E8">
        <w:rPr>
          <w:rFonts w:cs="Arial"/>
          <w:b/>
          <w:color w:val="A00054"/>
          <w:sz w:val="64"/>
          <w:szCs w:val="64"/>
        </w:rPr>
        <w:t>review o</w:t>
      </w:r>
      <w:r>
        <w:rPr>
          <w:rFonts w:cs="Arial"/>
          <w:b/>
          <w:color w:val="A00054"/>
          <w:sz w:val="64"/>
          <w:szCs w:val="64"/>
        </w:rPr>
        <w:t xml:space="preserve">utcome </w:t>
      </w:r>
      <w:r w:rsidR="00F304E8">
        <w:rPr>
          <w:rFonts w:cs="Arial"/>
          <w:b/>
          <w:color w:val="A00054"/>
          <w:sz w:val="64"/>
          <w:szCs w:val="64"/>
        </w:rPr>
        <w:t>r</w:t>
      </w:r>
      <w:r>
        <w:rPr>
          <w:rFonts w:cs="Arial"/>
          <w:b/>
          <w:color w:val="A00054"/>
          <w:sz w:val="64"/>
          <w:szCs w:val="64"/>
        </w:rPr>
        <w:t>eport</w:t>
      </w:r>
    </w:p>
    <w:p w:rsidR="00BC644F" w:rsidRDefault="00BC644F" w:rsidP="00BC644F">
      <w:pPr>
        <w:jc w:val="center"/>
        <w:rPr>
          <w:noProof/>
          <w:lang w:eastAsia="en-GB"/>
        </w:rPr>
      </w:pPr>
    </w:p>
    <w:p w:rsidR="00BC644F" w:rsidRDefault="00604C21" w:rsidP="00BC644F">
      <w:pPr>
        <w:jc w:val="center"/>
        <w:rPr>
          <w:noProof/>
          <w:lang w:eastAsia="en-GB"/>
        </w:rPr>
      </w:pPr>
      <w:r>
        <w:rPr>
          <w:noProof/>
          <w:lang w:val="en-US"/>
        </w:rPr>
        <w:drawing>
          <wp:anchor distT="0" distB="0" distL="114300" distR="114300" simplePos="0" relativeHeight="251659264" behindDoc="0" locked="0" layoutInCell="1" allowOverlap="1" wp14:anchorId="4C8C1A97" wp14:editId="35E4EF51">
            <wp:simplePos x="0" y="0"/>
            <wp:positionH relativeFrom="column">
              <wp:posOffset>-540385</wp:posOffset>
            </wp:positionH>
            <wp:positionV relativeFrom="paragraph">
              <wp:posOffset>270510</wp:posOffset>
            </wp:positionV>
            <wp:extent cx="7562215" cy="1377315"/>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215" cy="1377315"/>
                    </a:xfrm>
                    <a:prstGeom prst="rect">
                      <a:avLst/>
                    </a:prstGeom>
                    <a:noFill/>
                  </pic:spPr>
                </pic:pic>
              </a:graphicData>
            </a:graphic>
            <wp14:sizeRelH relativeFrom="page">
              <wp14:pctWidth>0</wp14:pctWidth>
            </wp14:sizeRelH>
            <wp14:sizeRelV relativeFrom="page">
              <wp14:pctHeight>0</wp14:pctHeight>
            </wp14:sizeRelV>
          </wp:anchor>
        </w:drawing>
      </w:r>
    </w:p>
    <w:p w:rsidR="00BC644F" w:rsidRDefault="00BC644F" w:rsidP="00BC644F">
      <w:pPr>
        <w:jc w:val="center"/>
        <w:rPr>
          <w:noProof/>
          <w:lang w:eastAsia="en-GB"/>
        </w:rPr>
      </w:pPr>
    </w:p>
    <w:p w:rsidR="00BC644F" w:rsidRDefault="00BC644F" w:rsidP="00BC644F">
      <w:pPr>
        <w:jc w:val="center"/>
        <w:rPr>
          <w:noProof/>
          <w:lang w:eastAsia="en-GB"/>
        </w:rPr>
      </w:pPr>
    </w:p>
    <w:p w:rsidR="00F304E8" w:rsidRDefault="00F304E8" w:rsidP="00F304E8">
      <w:pPr>
        <w:pStyle w:val="Heading1"/>
      </w:pPr>
      <w:bookmarkStart w:id="1" w:name="_Toc458755034"/>
      <w:r>
        <w:t>Local office name:</w:t>
      </w:r>
      <w:r>
        <w:tab/>
      </w:r>
      <w:r>
        <w:tab/>
      </w:r>
      <w:r>
        <w:tab/>
      </w:r>
      <w:r w:rsidR="00E510CA">
        <w:rPr>
          <w:rStyle w:val="Heading2Char"/>
        </w:rPr>
        <w:t xml:space="preserve">Yorkshire and </w:t>
      </w:r>
      <w:r w:rsidR="009478E4">
        <w:rPr>
          <w:rStyle w:val="Heading2Char"/>
        </w:rPr>
        <w:t xml:space="preserve">the </w:t>
      </w:r>
      <w:r w:rsidR="00E510CA">
        <w:rPr>
          <w:rStyle w:val="Heading2Char"/>
        </w:rPr>
        <w:t>Humber</w:t>
      </w:r>
    </w:p>
    <w:p w:rsidR="00BC644F" w:rsidRDefault="00BC644F" w:rsidP="00BC644F">
      <w:pPr>
        <w:pStyle w:val="Heading1"/>
      </w:pPr>
      <w:r>
        <w:t>Organisation:</w:t>
      </w:r>
      <w:r>
        <w:tab/>
      </w:r>
      <w:r>
        <w:tab/>
      </w:r>
      <w:r>
        <w:tab/>
      </w:r>
      <w:r>
        <w:tab/>
      </w:r>
      <w:bookmarkEnd w:id="1"/>
      <w:r w:rsidR="00E510CA">
        <w:rPr>
          <w:rStyle w:val="Heading2Char"/>
        </w:rPr>
        <w:t>Health Education England</w:t>
      </w:r>
    </w:p>
    <w:p w:rsidR="00BC644F" w:rsidRDefault="00BC644F" w:rsidP="000324B0">
      <w:pPr>
        <w:pStyle w:val="Heading1"/>
        <w:ind w:left="5040" w:hanging="5040"/>
        <w:rPr>
          <w:rStyle w:val="Heading2Char"/>
        </w:rPr>
      </w:pPr>
      <w:bookmarkStart w:id="2" w:name="_Toc458755035"/>
      <w:r>
        <w:t>Placements reviewed:</w:t>
      </w:r>
      <w:r>
        <w:tab/>
      </w:r>
      <w:bookmarkEnd w:id="2"/>
      <w:r w:rsidR="005424A9">
        <w:rPr>
          <w:rStyle w:val="Heading2Char"/>
        </w:rPr>
        <w:t>Paediatrics (GRID</w:t>
      </w:r>
      <w:r w:rsidR="009570BF">
        <w:rPr>
          <w:rStyle w:val="Heading2Char"/>
        </w:rPr>
        <w:t xml:space="preserve"> and General </w:t>
      </w:r>
      <w:r w:rsidR="000324B0">
        <w:rPr>
          <w:rStyle w:val="Heading2Char"/>
        </w:rPr>
        <w:t xml:space="preserve">   </w:t>
      </w:r>
      <w:r w:rsidR="009570BF">
        <w:rPr>
          <w:rStyle w:val="Heading2Char"/>
        </w:rPr>
        <w:t>Paediatrics</w:t>
      </w:r>
      <w:r w:rsidR="000324B0">
        <w:rPr>
          <w:rStyle w:val="Heading2Char"/>
        </w:rPr>
        <w:t>)</w:t>
      </w:r>
    </w:p>
    <w:p w:rsidR="00BC644F" w:rsidRDefault="00752E85" w:rsidP="00752E85">
      <w:pPr>
        <w:pStyle w:val="Heading1"/>
        <w:rPr>
          <w:noProof/>
          <w:lang w:eastAsia="en-GB"/>
        </w:rPr>
      </w:pPr>
      <w:r>
        <w:t>Date of Review:</w:t>
      </w:r>
      <w:r>
        <w:tab/>
      </w:r>
      <w:r>
        <w:tab/>
      </w:r>
      <w:r>
        <w:tab/>
      </w:r>
      <w:r w:rsidR="00DC3261">
        <w:rPr>
          <w:rStyle w:val="Heading2Char"/>
        </w:rPr>
        <w:t>T</w:t>
      </w:r>
      <w:r w:rsidR="005424A9">
        <w:rPr>
          <w:rStyle w:val="Heading2Char"/>
        </w:rPr>
        <w:t>uesday 20 November</w:t>
      </w:r>
      <w:r w:rsidR="00DC3261">
        <w:rPr>
          <w:rStyle w:val="Heading2Char"/>
        </w:rPr>
        <w:t xml:space="preserve"> 2018</w:t>
      </w:r>
    </w:p>
    <w:p w:rsidR="00BC644F" w:rsidRDefault="00BC644F" w:rsidP="00BC644F">
      <w:pPr>
        <w:jc w:val="center"/>
        <w:rPr>
          <w:noProof/>
          <w:lang w:eastAsia="en-GB"/>
        </w:rPr>
      </w:pPr>
    </w:p>
    <w:p w:rsidR="00BC644F" w:rsidRDefault="00BC644F" w:rsidP="00BC644F">
      <w:pPr>
        <w:jc w:val="center"/>
        <w:rPr>
          <w:noProof/>
          <w:lang w:eastAsia="en-GB"/>
        </w:rPr>
      </w:pPr>
    </w:p>
    <w:p w:rsidR="00BC644F" w:rsidRDefault="00BC644F" w:rsidP="00BC644F">
      <w:pPr>
        <w:rPr>
          <w:lang w:eastAsia="en-GB"/>
        </w:rPr>
      </w:pPr>
    </w:p>
    <w:p w:rsidR="00E510CA" w:rsidRDefault="00E510CA" w:rsidP="00BC644F">
      <w:pPr>
        <w:rPr>
          <w:lang w:eastAsia="en-GB"/>
        </w:rPr>
      </w:pPr>
    </w:p>
    <w:p w:rsidR="00BC644F" w:rsidRPr="00BC644F" w:rsidRDefault="00BC644F" w:rsidP="00BC644F">
      <w:pPr>
        <w:rPr>
          <w:lang w:eastAsia="en-GB"/>
        </w:rPr>
      </w:pPr>
    </w:p>
    <w:p w:rsidR="00BC644F" w:rsidRDefault="00BC644F" w:rsidP="00BC644F">
      <w:pPr>
        <w:pStyle w:val="Heading2"/>
        <w:jc w:val="right"/>
        <w:rPr>
          <w:b w:val="0"/>
          <w:noProof/>
          <w:lang w:eastAsia="en-GB"/>
        </w:rPr>
      </w:pPr>
      <w:r>
        <w:t>Date of r</w:t>
      </w:r>
      <w:r w:rsidRPr="00E63957">
        <w:t>eport</w:t>
      </w:r>
      <w:r w:rsidRPr="00FE75B8">
        <w:t>:</w:t>
      </w:r>
      <w:r w:rsidRPr="00FE75B8">
        <w:rPr>
          <w:noProof/>
          <w:lang w:eastAsia="en-GB"/>
        </w:rPr>
        <w:t xml:space="preserve"> </w:t>
      </w:r>
      <w:r w:rsidR="001A7741" w:rsidRPr="001D1736">
        <w:rPr>
          <w:b w:val="0"/>
          <w:noProof/>
          <w:lang w:eastAsia="en-GB"/>
        </w:rPr>
        <w:t>2</w:t>
      </w:r>
      <w:r w:rsidR="00D64AD9" w:rsidRPr="001D1736">
        <w:rPr>
          <w:b w:val="0"/>
          <w:noProof/>
          <w:lang w:eastAsia="en-GB"/>
        </w:rPr>
        <w:t>0</w:t>
      </w:r>
      <w:r w:rsidR="001A7741" w:rsidRPr="001D1736">
        <w:rPr>
          <w:b w:val="0"/>
          <w:noProof/>
          <w:lang w:eastAsia="en-GB"/>
        </w:rPr>
        <w:t xml:space="preserve"> </w:t>
      </w:r>
      <w:r w:rsidR="005424A9" w:rsidRPr="001D1736">
        <w:rPr>
          <w:b w:val="0"/>
          <w:noProof/>
          <w:lang w:eastAsia="en-GB"/>
        </w:rPr>
        <w:t>November</w:t>
      </w:r>
      <w:r w:rsidR="001A7741" w:rsidRPr="001D1736">
        <w:rPr>
          <w:b w:val="0"/>
          <w:noProof/>
          <w:lang w:eastAsia="en-GB"/>
        </w:rPr>
        <w:t xml:space="preserve"> 2018</w:t>
      </w:r>
    </w:p>
    <w:p w:rsidR="00BC644F" w:rsidRDefault="00BC644F" w:rsidP="00BC644F">
      <w:pPr>
        <w:pStyle w:val="Heading2"/>
        <w:jc w:val="right"/>
        <w:rPr>
          <w:b w:val="0"/>
          <w:lang w:eastAsia="en-GB"/>
        </w:rPr>
      </w:pPr>
      <w:r>
        <w:rPr>
          <w:lang w:eastAsia="en-GB"/>
        </w:rPr>
        <w:t xml:space="preserve">Author: </w:t>
      </w:r>
      <w:r w:rsidR="00DC3261">
        <w:rPr>
          <w:b w:val="0"/>
          <w:lang w:eastAsia="en-GB"/>
        </w:rPr>
        <w:t>Emma Diggle</w:t>
      </w:r>
    </w:p>
    <w:p w:rsidR="00BC644F" w:rsidRPr="00BC644F" w:rsidRDefault="00BC644F" w:rsidP="00BC644F">
      <w:pPr>
        <w:pStyle w:val="Heading2"/>
        <w:jc w:val="right"/>
        <w:rPr>
          <w:b w:val="0"/>
          <w:lang w:eastAsia="en-GB"/>
        </w:rPr>
      </w:pPr>
      <w:r>
        <w:rPr>
          <w:lang w:eastAsia="en-GB"/>
        </w:rPr>
        <w:t xml:space="preserve">Job title: </w:t>
      </w:r>
      <w:r w:rsidR="00E510CA">
        <w:rPr>
          <w:b w:val="0"/>
          <w:lang w:eastAsia="en-GB"/>
        </w:rPr>
        <w:t>Quality Coordinator</w:t>
      </w:r>
    </w:p>
    <w:p w:rsidR="00BC644F" w:rsidRDefault="00BC644F" w:rsidP="00BC644F">
      <w:pPr>
        <w:jc w:val="both"/>
        <w:sectPr w:rsidR="00BC644F" w:rsidSect="00B55B1C">
          <w:headerReference w:type="default" r:id="rId14"/>
          <w:footerReference w:type="even" r:id="rId15"/>
          <w:footerReference w:type="default" r:id="rId16"/>
          <w:headerReference w:type="first" r:id="rId17"/>
          <w:footerReference w:type="first" r:id="rId18"/>
          <w:type w:val="continuous"/>
          <w:pgSz w:w="11900" w:h="16840"/>
          <w:pgMar w:top="1134" w:right="851" w:bottom="1134" w:left="851" w:header="567" w:footer="567" w:gutter="0"/>
          <w:cols w:space="708"/>
          <w:titlePg/>
          <w:docGrid w:linePitch="360"/>
        </w:sectPr>
      </w:pPr>
    </w:p>
    <w:p w:rsidR="00BC644F" w:rsidRDefault="00F304E8" w:rsidP="00F304E8">
      <w:pPr>
        <w:pStyle w:val="Heading1"/>
        <w:spacing w:before="120"/>
        <w:jc w:val="center"/>
      </w:pPr>
      <w:r>
        <w:t>Review c</w:t>
      </w:r>
      <w:r w:rsidR="00BC644F">
        <w:t>ontext</w:t>
      </w:r>
    </w:p>
    <w:p w:rsidR="00BC644F" w:rsidRDefault="00BC644F" w:rsidP="00BC644F">
      <w:pPr>
        <w:pStyle w:val="Heading2"/>
      </w:pPr>
      <w:bookmarkStart w:id="3" w:name="_Toc458755039"/>
      <w:r>
        <w:t xml:space="preserve">Background </w:t>
      </w:r>
      <w:bookmarkEnd w:id="3"/>
    </w:p>
    <w:tbl>
      <w:tblPr>
        <w:tblW w:w="4764" w:type="pct"/>
        <w:tblInd w:w="108"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3875"/>
        <w:gridCol w:w="5813"/>
      </w:tblGrid>
      <w:tr w:rsidR="00BC644F" w:rsidRPr="00EB7AC2" w:rsidTr="00F304E8">
        <w:trPr>
          <w:cantSplit/>
          <w:trHeight w:val="397"/>
        </w:trPr>
        <w:tc>
          <w:tcPr>
            <w:tcW w:w="2000" w:type="pct"/>
            <w:tcBorders>
              <w:top w:val="single" w:sz="12" w:space="0" w:color="0070C0"/>
            </w:tcBorders>
            <w:shd w:val="clear" w:color="auto" w:fill="0070C0"/>
            <w:vAlign w:val="center"/>
          </w:tcPr>
          <w:p w:rsidR="00BC644F" w:rsidRPr="00967AB2" w:rsidRDefault="00BC644F" w:rsidP="00F304E8">
            <w:pPr>
              <w:jc w:val="right"/>
              <w:rPr>
                <w:b/>
                <w:color w:val="FFFFFF" w:themeColor="background1"/>
                <w:sz w:val="20"/>
                <w:szCs w:val="20"/>
              </w:rPr>
            </w:pPr>
            <w:r w:rsidRPr="00967AB2">
              <w:rPr>
                <w:b/>
                <w:color w:val="FFFFFF" w:themeColor="background1"/>
                <w:sz w:val="20"/>
                <w:szCs w:val="20"/>
              </w:rPr>
              <w:t xml:space="preserve">Reason for </w:t>
            </w:r>
            <w:r w:rsidR="00F304E8">
              <w:rPr>
                <w:b/>
                <w:color w:val="FFFFFF" w:themeColor="background1"/>
                <w:sz w:val="20"/>
                <w:szCs w:val="20"/>
              </w:rPr>
              <w:t>review</w:t>
            </w:r>
            <w:r w:rsidRPr="00967AB2">
              <w:rPr>
                <w:b/>
                <w:color w:val="FFFFFF" w:themeColor="background1"/>
                <w:sz w:val="20"/>
                <w:szCs w:val="20"/>
              </w:rPr>
              <w:t>:</w:t>
            </w:r>
          </w:p>
        </w:tc>
        <w:tc>
          <w:tcPr>
            <w:tcW w:w="3000" w:type="pct"/>
            <w:tcBorders>
              <w:top w:val="single" w:sz="12" w:space="0" w:color="0070C0"/>
              <w:bottom w:val="single" w:sz="6" w:space="0" w:color="0070C0"/>
            </w:tcBorders>
            <w:vAlign w:val="center"/>
          </w:tcPr>
          <w:p w:rsidR="00BC644F" w:rsidRPr="00432CE6" w:rsidRDefault="00B75387" w:rsidP="00432CE6">
            <w:pPr>
              <w:spacing w:after="200" w:line="276" w:lineRule="auto"/>
              <w:contextualSpacing/>
              <w:rPr>
                <w:rFonts w:eastAsia="Times New Roman"/>
                <w:sz w:val="20"/>
                <w:szCs w:val="20"/>
              </w:rPr>
            </w:pPr>
            <w:r w:rsidRPr="00432CE6">
              <w:rPr>
                <w:sz w:val="20"/>
                <w:szCs w:val="20"/>
              </w:rPr>
              <w:t>Poor</w:t>
            </w:r>
            <w:r w:rsidR="00080F3D" w:rsidRPr="00432CE6">
              <w:rPr>
                <w:sz w:val="20"/>
                <w:szCs w:val="20"/>
              </w:rPr>
              <w:t xml:space="preserve"> </w:t>
            </w:r>
            <w:r w:rsidR="006007D5" w:rsidRPr="00432CE6">
              <w:rPr>
                <w:sz w:val="20"/>
                <w:szCs w:val="20"/>
              </w:rPr>
              <w:t>GMC NTS 2017 s</w:t>
            </w:r>
            <w:r w:rsidR="00080F3D" w:rsidRPr="00432CE6">
              <w:rPr>
                <w:sz w:val="20"/>
                <w:szCs w:val="20"/>
              </w:rPr>
              <w:t>urvey data</w:t>
            </w:r>
            <w:r w:rsidR="00683E37" w:rsidRPr="00432CE6">
              <w:rPr>
                <w:sz w:val="20"/>
                <w:szCs w:val="20"/>
              </w:rPr>
              <w:t xml:space="preserve"> and local intelligence raised the following concerns: </w:t>
            </w:r>
            <w:r w:rsidR="00683E37" w:rsidRPr="00432CE6">
              <w:rPr>
                <w:rFonts w:eastAsia="Times New Roman"/>
                <w:sz w:val="20"/>
                <w:szCs w:val="20"/>
              </w:rPr>
              <w:t>Inability to produce rotation dates in time, multiple versions of rotations, necessity of frequent moving around of trainees, exam failures, and poor survey results for Paed</w:t>
            </w:r>
            <w:r w:rsidR="00432CE6" w:rsidRPr="00432CE6">
              <w:rPr>
                <w:rFonts w:eastAsia="Times New Roman"/>
                <w:sz w:val="20"/>
                <w:szCs w:val="20"/>
              </w:rPr>
              <w:t>iatric</w:t>
            </w:r>
            <w:r w:rsidR="00683E37" w:rsidRPr="00432CE6">
              <w:rPr>
                <w:rFonts w:eastAsia="Times New Roman"/>
                <w:sz w:val="20"/>
                <w:szCs w:val="20"/>
              </w:rPr>
              <w:t xml:space="preserve"> Nephrology, Paed</w:t>
            </w:r>
            <w:r w:rsidR="00432CE6" w:rsidRPr="00432CE6">
              <w:rPr>
                <w:rFonts w:eastAsia="Times New Roman"/>
                <w:sz w:val="20"/>
                <w:szCs w:val="20"/>
              </w:rPr>
              <w:t>iatric</w:t>
            </w:r>
            <w:r w:rsidR="00683E37" w:rsidRPr="00432CE6">
              <w:rPr>
                <w:rFonts w:eastAsia="Times New Roman"/>
                <w:sz w:val="20"/>
                <w:szCs w:val="20"/>
              </w:rPr>
              <w:t xml:space="preserve"> Neurology and Paed</w:t>
            </w:r>
            <w:r w:rsidR="00432CE6" w:rsidRPr="00432CE6">
              <w:rPr>
                <w:rFonts w:eastAsia="Times New Roman"/>
                <w:sz w:val="20"/>
                <w:szCs w:val="20"/>
              </w:rPr>
              <w:t>iatric</w:t>
            </w:r>
            <w:r w:rsidR="00683E37" w:rsidRPr="00432CE6">
              <w:rPr>
                <w:rFonts w:eastAsia="Times New Roman"/>
                <w:sz w:val="20"/>
                <w:szCs w:val="20"/>
              </w:rPr>
              <w:t xml:space="preserve"> Oncology</w:t>
            </w:r>
            <w:r w:rsidR="00432CE6" w:rsidRPr="00432CE6">
              <w:rPr>
                <w:rFonts w:eastAsia="Times New Roman"/>
                <w:sz w:val="20"/>
                <w:szCs w:val="20"/>
              </w:rPr>
              <w:t>.</w:t>
            </w:r>
          </w:p>
        </w:tc>
      </w:tr>
      <w:tr w:rsidR="00BC644F" w:rsidRPr="00EB7AC2" w:rsidTr="00F304E8">
        <w:trPr>
          <w:cantSplit/>
          <w:trHeight w:val="397"/>
        </w:trPr>
        <w:tc>
          <w:tcPr>
            <w:tcW w:w="2000" w:type="pct"/>
            <w:shd w:val="clear" w:color="auto" w:fill="0070C0"/>
            <w:vAlign w:val="center"/>
          </w:tcPr>
          <w:p w:rsidR="00BC644F" w:rsidRPr="00967AB2" w:rsidRDefault="00BC644F" w:rsidP="00853F0B">
            <w:pPr>
              <w:jc w:val="right"/>
              <w:rPr>
                <w:b/>
                <w:color w:val="FFFFFF" w:themeColor="background1"/>
                <w:sz w:val="20"/>
                <w:szCs w:val="20"/>
              </w:rPr>
            </w:pPr>
            <w:r>
              <w:rPr>
                <w:b/>
                <w:color w:val="FFFFFF" w:themeColor="background1"/>
                <w:sz w:val="20"/>
                <w:szCs w:val="20"/>
              </w:rPr>
              <w:t>No. of learners</w:t>
            </w:r>
            <w:r w:rsidRPr="00967AB2">
              <w:rPr>
                <w:b/>
                <w:color w:val="FFFFFF" w:themeColor="background1"/>
                <w:sz w:val="20"/>
                <w:szCs w:val="20"/>
              </w:rPr>
              <w:t xml:space="preserve"> met:</w:t>
            </w:r>
          </w:p>
        </w:tc>
        <w:tc>
          <w:tcPr>
            <w:tcW w:w="3000" w:type="pct"/>
            <w:tcBorders>
              <w:top w:val="single" w:sz="6" w:space="0" w:color="0070C0"/>
              <w:bottom w:val="single" w:sz="6" w:space="0" w:color="0070C0"/>
            </w:tcBorders>
            <w:vAlign w:val="center"/>
          </w:tcPr>
          <w:p w:rsidR="00BC644F" w:rsidRPr="00967AB2" w:rsidRDefault="00486B6F" w:rsidP="00853F0B">
            <w:pPr>
              <w:rPr>
                <w:sz w:val="20"/>
                <w:szCs w:val="20"/>
              </w:rPr>
            </w:pPr>
            <w:r>
              <w:rPr>
                <w:sz w:val="20"/>
                <w:szCs w:val="20"/>
              </w:rPr>
              <w:t>34</w:t>
            </w:r>
          </w:p>
        </w:tc>
      </w:tr>
      <w:tr w:rsidR="00BC644F" w:rsidRPr="00EB7AC2" w:rsidTr="00F304E8">
        <w:trPr>
          <w:cantSplit/>
          <w:trHeight w:val="397"/>
        </w:trPr>
        <w:tc>
          <w:tcPr>
            <w:tcW w:w="2000" w:type="pct"/>
            <w:shd w:val="clear" w:color="auto" w:fill="0070C0"/>
            <w:vAlign w:val="center"/>
          </w:tcPr>
          <w:p w:rsidR="00BC644F" w:rsidRPr="00967AB2" w:rsidRDefault="00BC644F" w:rsidP="00853F0B">
            <w:pPr>
              <w:jc w:val="right"/>
              <w:rPr>
                <w:b/>
                <w:color w:val="FFFFFF" w:themeColor="background1"/>
                <w:sz w:val="20"/>
                <w:szCs w:val="20"/>
              </w:rPr>
            </w:pPr>
            <w:r>
              <w:rPr>
                <w:b/>
                <w:color w:val="FFFFFF" w:themeColor="background1"/>
                <w:sz w:val="20"/>
                <w:szCs w:val="20"/>
              </w:rPr>
              <w:t>No. of supervisors</w:t>
            </w:r>
            <w:r w:rsidR="00F304E8">
              <w:rPr>
                <w:b/>
                <w:color w:val="FFFFFF" w:themeColor="background1"/>
                <w:sz w:val="20"/>
                <w:szCs w:val="20"/>
              </w:rPr>
              <w:t xml:space="preserve"> </w:t>
            </w:r>
            <w:r>
              <w:rPr>
                <w:b/>
                <w:color w:val="FFFFFF" w:themeColor="background1"/>
                <w:sz w:val="20"/>
                <w:szCs w:val="20"/>
              </w:rPr>
              <w:t>/</w:t>
            </w:r>
            <w:r w:rsidR="00F304E8">
              <w:rPr>
                <w:b/>
                <w:color w:val="FFFFFF" w:themeColor="background1"/>
                <w:sz w:val="20"/>
                <w:szCs w:val="20"/>
              </w:rPr>
              <w:t xml:space="preserve"> </w:t>
            </w:r>
            <w:r>
              <w:rPr>
                <w:b/>
                <w:color w:val="FFFFFF" w:themeColor="background1"/>
                <w:sz w:val="20"/>
                <w:szCs w:val="20"/>
              </w:rPr>
              <w:t xml:space="preserve">mentors </w:t>
            </w:r>
            <w:r w:rsidRPr="00967AB2">
              <w:rPr>
                <w:b/>
                <w:color w:val="FFFFFF" w:themeColor="background1"/>
                <w:sz w:val="20"/>
                <w:szCs w:val="20"/>
              </w:rPr>
              <w:t>met:</w:t>
            </w:r>
          </w:p>
        </w:tc>
        <w:tc>
          <w:tcPr>
            <w:tcW w:w="3000" w:type="pct"/>
            <w:tcBorders>
              <w:top w:val="single" w:sz="6" w:space="0" w:color="0070C0"/>
              <w:bottom w:val="single" w:sz="6" w:space="0" w:color="0070C0"/>
            </w:tcBorders>
            <w:vAlign w:val="center"/>
          </w:tcPr>
          <w:p w:rsidR="00BC644F" w:rsidRPr="00122053" w:rsidRDefault="005424A9" w:rsidP="00853F0B">
            <w:pPr>
              <w:rPr>
                <w:sz w:val="20"/>
                <w:szCs w:val="20"/>
              </w:rPr>
            </w:pPr>
            <w:r>
              <w:rPr>
                <w:sz w:val="20"/>
                <w:szCs w:val="20"/>
              </w:rPr>
              <w:t>26</w:t>
            </w:r>
          </w:p>
        </w:tc>
      </w:tr>
      <w:tr w:rsidR="00BC644F" w:rsidRPr="00EB7AC2" w:rsidTr="00F304E8">
        <w:trPr>
          <w:cantSplit/>
          <w:trHeight w:val="397"/>
        </w:trPr>
        <w:tc>
          <w:tcPr>
            <w:tcW w:w="2000" w:type="pct"/>
            <w:shd w:val="clear" w:color="auto" w:fill="0070C0"/>
            <w:vAlign w:val="center"/>
          </w:tcPr>
          <w:p w:rsidR="00BC644F" w:rsidRPr="00967AB2" w:rsidRDefault="00BC644F" w:rsidP="00853F0B">
            <w:pPr>
              <w:jc w:val="right"/>
              <w:rPr>
                <w:b/>
                <w:color w:val="FFFFFF" w:themeColor="background1"/>
                <w:sz w:val="20"/>
                <w:szCs w:val="20"/>
              </w:rPr>
            </w:pPr>
            <w:r>
              <w:rPr>
                <w:b/>
                <w:color w:val="FFFFFF" w:themeColor="background1"/>
                <w:sz w:val="20"/>
                <w:szCs w:val="20"/>
              </w:rPr>
              <w:t>Other staff members met:</w:t>
            </w:r>
          </w:p>
        </w:tc>
        <w:tc>
          <w:tcPr>
            <w:tcW w:w="3000" w:type="pct"/>
            <w:tcBorders>
              <w:top w:val="single" w:sz="6" w:space="0" w:color="0070C0"/>
              <w:bottom w:val="nil"/>
            </w:tcBorders>
            <w:vAlign w:val="center"/>
          </w:tcPr>
          <w:p w:rsidR="00BC644F" w:rsidRPr="00122053" w:rsidRDefault="00BC644F" w:rsidP="00853F0B">
            <w:pPr>
              <w:rPr>
                <w:sz w:val="20"/>
                <w:szCs w:val="20"/>
              </w:rPr>
            </w:pPr>
          </w:p>
        </w:tc>
      </w:tr>
      <w:tr w:rsidR="00BC644F" w:rsidRPr="00EB7AC2" w:rsidTr="00F304E8">
        <w:trPr>
          <w:cantSplit/>
          <w:trHeight w:val="397"/>
        </w:trPr>
        <w:tc>
          <w:tcPr>
            <w:tcW w:w="2000" w:type="pct"/>
            <w:shd w:val="clear" w:color="auto" w:fill="0070C0"/>
            <w:vAlign w:val="center"/>
          </w:tcPr>
          <w:p w:rsidR="00BC644F" w:rsidRPr="00967AB2" w:rsidRDefault="00BC644F" w:rsidP="00853F0B">
            <w:pPr>
              <w:jc w:val="right"/>
              <w:rPr>
                <w:b/>
                <w:color w:val="FFFFFF" w:themeColor="background1"/>
                <w:sz w:val="20"/>
                <w:szCs w:val="20"/>
              </w:rPr>
            </w:pPr>
            <w:r>
              <w:rPr>
                <w:b/>
                <w:color w:val="FFFFFF" w:themeColor="background1"/>
                <w:sz w:val="20"/>
                <w:szCs w:val="20"/>
              </w:rPr>
              <w:t>Duration of review</w:t>
            </w:r>
            <w:r w:rsidRPr="00967AB2">
              <w:rPr>
                <w:b/>
                <w:color w:val="FFFFFF" w:themeColor="background1"/>
                <w:sz w:val="20"/>
                <w:szCs w:val="20"/>
              </w:rPr>
              <w:t>:</w:t>
            </w:r>
          </w:p>
        </w:tc>
        <w:tc>
          <w:tcPr>
            <w:tcW w:w="3000" w:type="pct"/>
            <w:tcBorders>
              <w:top w:val="single" w:sz="6" w:space="0" w:color="0070C0"/>
              <w:bottom w:val="nil"/>
            </w:tcBorders>
            <w:vAlign w:val="center"/>
          </w:tcPr>
          <w:p w:rsidR="00BC644F" w:rsidRPr="00122053" w:rsidRDefault="006A1C8F" w:rsidP="00853F0B">
            <w:pPr>
              <w:rPr>
                <w:sz w:val="20"/>
                <w:szCs w:val="20"/>
              </w:rPr>
            </w:pPr>
            <w:r>
              <w:rPr>
                <w:sz w:val="20"/>
                <w:szCs w:val="20"/>
              </w:rPr>
              <w:t>6.5</w:t>
            </w:r>
            <w:r w:rsidR="00D910C4">
              <w:rPr>
                <w:sz w:val="20"/>
                <w:szCs w:val="20"/>
              </w:rPr>
              <w:t xml:space="preserve"> hours</w:t>
            </w:r>
          </w:p>
        </w:tc>
      </w:tr>
      <w:tr w:rsidR="00BC644F" w:rsidRPr="00EB7AC2" w:rsidTr="00F304E8">
        <w:trPr>
          <w:cantSplit/>
          <w:trHeight w:val="397"/>
        </w:trPr>
        <w:tc>
          <w:tcPr>
            <w:tcW w:w="2000" w:type="pct"/>
            <w:tcBorders>
              <w:bottom w:val="single" w:sz="12" w:space="0" w:color="0070C0"/>
            </w:tcBorders>
            <w:shd w:val="clear" w:color="auto" w:fill="0070C0"/>
            <w:vAlign w:val="center"/>
          </w:tcPr>
          <w:p w:rsidR="00BC644F" w:rsidRPr="00F304E8" w:rsidRDefault="00BC644F" w:rsidP="00F304E8">
            <w:pPr>
              <w:jc w:val="right"/>
              <w:rPr>
                <w:i/>
                <w:color w:val="FFFFFF" w:themeColor="background1"/>
                <w:sz w:val="20"/>
                <w:szCs w:val="20"/>
              </w:rPr>
            </w:pPr>
            <w:r>
              <w:rPr>
                <w:b/>
                <w:color w:val="FFFFFF" w:themeColor="background1"/>
                <w:sz w:val="20"/>
                <w:szCs w:val="20"/>
              </w:rPr>
              <w:t xml:space="preserve">Intelligence sources </w:t>
            </w:r>
            <w:r w:rsidR="00F304E8">
              <w:rPr>
                <w:b/>
                <w:color w:val="FFFFFF" w:themeColor="background1"/>
                <w:sz w:val="20"/>
                <w:szCs w:val="20"/>
              </w:rPr>
              <w:t>seen prior to review</w:t>
            </w:r>
            <w:r>
              <w:rPr>
                <w:b/>
                <w:color w:val="FFFFFF" w:themeColor="background1"/>
                <w:sz w:val="20"/>
                <w:szCs w:val="20"/>
              </w:rPr>
              <w:t>:</w:t>
            </w:r>
            <w:r w:rsidR="00F304E8">
              <w:rPr>
                <w:b/>
                <w:color w:val="FFFFFF" w:themeColor="background1"/>
                <w:sz w:val="20"/>
                <w:szCs w:val="20"/>
              </w:rPr>
              <w:t xml:space="preserve"> </w:t>
            </w:r>
            <w:r w:rsidR="00F304E8">
              <w:rPr>
                <w:i/>
                <w:color w:val="FFFFFF" w:themeColor="background1"/>
                <w:sz w:val="20"/>
                <w:szCs w:val="20"/>
              </w:rPr>
              <w:t>(e.g. CQC reports; NSS; GMC Survey)</w:t>
            </w:r>
          </w:p>
        </w:tc>
        <w:tc>
          <w:tcPr>
            <w:tcW w:w="3000" w:type="pct"/>
            <w:tcBorders>
              <w:top w:val="single" w:sz="6" w:space="0" w:color="0070C0"/>
              <w:bottom w:val="single" w:sz="12" w:space="0" w:color="0070C0"/>
            </w:tcBorders>
            <w:vAlign w:val="center"/>
          </w:tcPr>
          <w:p w:rsidR="00BC644F" w:rsidRPr="00122053" w:rsidRDefault="00D910C4" w:rsidP="00853F0B">
            <w:pPr>
              <w:rPr>
                <w:sz w:val="20"/>
                <w:szCs w:val="20"/>
              </w:rPr>
            </w:pPr>
            <w:r>
              <w:rPr>
                <w:sz w:val="20"/>
                <w:szCs w:val="20"/>
              </w:rPr>
              <w:t>GMC survey</w:t>
            </w:r>
            <w:r w:rsidR="005424A9">
              <w:rPr>
                <w:sz w:val="20"/>
                <w:szCs w:val="20"/>
              </w:rPr>
              <w:t xml:space="preserve"> 2017 and 2018</w:t>
            </w:r>
            <w:r>
              <w:rPr>
                <w:sz w:val="20"/>
                <w:szCs w:val="20"/>
              </w:rPr>
              <w:t xml:space="preserve">, </w:t>
            </w:r>
            <w:r w:rsidR="00465F31">
              <w:rPr>
                <w:sz w:val="20"/>
                <w:szCs w:val="20"/>
              </w:rPr>
              <w:t>HEE</w:t>
            </w:r>
            <w:r w:rsidR="009478E4">
              <w:rPr>
                <w:sz w:val="20"/>
                <w:szCs w:val="20"/>
              </w:rPr>
              <w:t xml:space="preserve"> </w:t>
            </w:r>
            <w:r w:rsidR="00465F31">
              <w:rPr>
                <w:sz w:val="20"/>
                <w:szCs w:val="20"/>
              </w:rPr>
              <w:t>YH</w:t>
            </w:r>
            <w:r>
              <w:rPr>
                <w:sz w:val="20"/>
                <w:szCs w:val="20"/>
              </w:rPr>
              <w:t xml:space="preserve"> </w:t>
            </w:r>
            <w:r w:rsidR="009570BF">
              <w:rPr>
                <w:sz w:val="20"/>
                <w:szCs w:val="20"/>
              </w:rPr>
              <w:t xml:space="preserve">NETS </w:t>
            </w:r>
            <w:r w:rsidR="009478E4">
              <w:rPr>
                <w:sz w:val="20"/>
                <w:szCs w:val="20"/>
              </w:rPr>
              <w:t xml:space="preserve">Trainee </w:t>
            </w:r>
            <w:r>
              <w:rPr>
                <w:sz w:val="20"/>
                <w:szCs w:val="20"/>
              </w:rPr>
              <w:t>Survey</w:t>
            </w:r>
            <w:r w:rsidR="005424A9">
              <w:rPr>
                <w:sz w:val="20"/>
                <w:szCs w:val="20"/>
              </w:rPr>
              <w:t xml:space="preserve"> 2017</w:t>
            </w:r>
            <w:r>
              <w:rPr>
                <w:sz w:val="20"/>
                <w:szCs w:val="20"/>
              </w:rPr>
              <w:t>, School self-assessment</w:t>
            </w:r>
            <w:r w:rsidR="005424A9">
              <w:rPr>
                <w:sz w:val="20"/>
                <w:szCs w:val="20"/>
              </w:rPr>
              <w:t>s</w:t>
            </w:r>
            <w:r>
              <w:rPr>
                <w:sz w:val="20"/>
                <w:szCs w:val="20"/>
              </w:rPr>
              <w:t xml:space="preserve">, </w:t>
            </w:r>
            <w:r w:rsidR="009570BF">
              <w:rPr>
                <w:sz w:val="20"/>
                <w:szCs w:val="20"/>
              </w:rPr>
              <w:t>p</w:t>
            </w:r>
            <w:r w:rsidR="005424A9">
              <w:rPr>
                <w:sz w:val="20"/>
                <w:szCs w:val="20"/>
              </w:rPr>
              <w:t>resentation and additional presentation information by specialty, and L</w:t>
            </w:r>
            <w:r w:rsidR="009570BF">
              <w:rPr>
                <w:sz w:val="20"/>
                <w:szCs w:val="20"/>
              </w:rPr>
              <w:t xml:space="preserve">eeds </w:t>
            </w:r>
            <w:r w:rsidR="005424A9">
              <w:rPr>
                <w:sz w:val="20"/>
                <w:szCs w:val="20"/>
              </w:rPr>
              <w:t>T</w:t>
            </w:r>
            <w:r w:rsidR="009570BF">
              <w:rPr>
                <w:sz w:val="20"/>
                <w:szCs w:val="20"/>
              </w:rPr>
              <w:t xml:space="preserve">eaching </w:t>
            </w:r>
            <w:r w:rsidR="005424A9">
              <w:rPr>
                <w:sz w:val="20"/>
                <w:szCs w:val="20"/>
              </w:rPr>
              <w:t>H</w:t>
            </w:r>
            <w:r w:rsidR="009570BF">
              <w:rPr>
                <w:sz w:val="20"/>
                <w:szCs w:val="20"/>
              </w:rPr>
              <w:t xml:space="preserve">ospitals </w:t>
            </w:r>
            <w:r w:rsidR="005424A9">
              <w:rPr>
                <w:sz w:val="20"/>
                <w:szCs w:val="20"/>
              </w:rPr>
              <w:t>Multi-professional review of Child Health Outcome Report 16 October 2017</w:t>
            </w:r>
          </w:p>
        </w:tc>
      </w:tr>
    </w:tbl>
    <w:p w:rsidR="00BC644F" w:rsidRDefault="00BC644F" w:rsidP="00BC644F"/>
    <w:p w:rsidR="00BC644F" w:rsidRDefault="00BC644F" w:rsidP="00BC644F"/>
    <w:p w:rsidR="00BC644F" w:rsidRPr="000809FD" w:rsidRDefault="00BC644F" w:rsidP="00BC644F"/>
    <w:p w:rsidR="00BC644F" w:rsidRPr="00F304E8" w:rsidRDefault="00F304E8" w:rsidP="00F304E8">
      <w:pPr>
        <w:pStyle w:val="Heading2"/>
      </w:pPr>
      <w:r w:rsidRPr="00F304E8">
        <w:t>Panel m</w:t>
      </w:r>
      <w:r w:rsidR="00BC644F" w:rsidRPr="00F304E8">
        <w:t>embers</w:t>
      </w:r>
    </w:p>
    <w:tbl>
      <w:tblPr>
        <w:tblW w:w="4764" w:type="pct"/>
        <w:tblInd w:w="108" w:type="dxa"/>
        <w:tblBorders>
          <w:top w:val="single" w:sz="12" w:space="0" w:color="0070C0"/>
          <w:left w:val="single" w:sz="12" w:space="0" w:color="0070C0"/>
          <w:bottom w:val="single" w:sz="12" w:space="0" w:color="0070C0"/>
          <w:right w:val="single" w:sz="12" w:space="0" w:color="0070C0"/>
        </w:tblBorders>
        <w:tblLook w:val="01E0" w:firstRow="1" w:lastRow="1" w:firstColumn="1" w:lastColumn="1" w:noHBand="0" w:noVBand="0"/>
      </w:tblPr>
      <w:tblGrid>
        <w:gridCol w:w="3445"/>
        <w:gridCol w:w="6243"/>
      </w:tblGrid>
      <w:tr w:rsidR="00BC644F" w:rsidRPr="00967AB2" w:rsidTr="00853F0B">
        <w:trPr>
          <w:trHeight w:val="340"/>
        </w:trPr>
        <w:tc>
          <w:tcPr>
            <w:tcW w:w="1778" w:type="pct"/>
            <w:tcBorders>
              <w:bottom w:val="nil"/>
            </w:tcBorders>
            <w:shd w:val="clear" w:color="auto" w:fill="0070C0"/>
            <w:vAlign w:val="center"/>
          </w:tcPr>
          <w:p w:rsidR="00BC644F" w:rsidRPr="006647D5" w:rsidRDefault="00BC644F" w:rsidP="00853F0B">
            <w:pPr>
              <w:pStyle w:val="BodyTextIndent"/>
              <w:spacing w:after="40"/>
              <w:ind w:left="0"/>
              <w:rPr>
                <w:rFonts w:ascii="Arial" w:hAnsi="Arial" w:cs="Arial"/>
                <w:b/>
                <w:color w:val="FFFFFF" w:themeColor="background1"/>
                <w:sz w:val="20"/>
                <w:szCs w:val="20"/>
              </w:rPr>
            </w:pPr>
            <w:r w:rsidRPr="006647D5">
              <w:rPr>
                <w:rFonts w:ascii="Arial" w:hAnsi="Arial" w:cs="Arial"/>
                <w:b/>
                <w:color w:val="FFFFFF" w:themeColor="background1"/>
                <w:sz w:val="20"/>
                <w:szCs w:val="20"/>
              </w:rPr>
              <w:t>Name</w:t>
            </w:r>
          </w:p>
        </w:tc>
        <w:tc>
          <w:tcPr>
            <w:tcW w:w="3222" w:type="pct"/>
            <w:tcBorders>
              <w:bottom w:val="nil"/>
            </w:tcBorders>
            <w:shd w:val="clear" w:color="auto" w:fill="0070C0"/>
            <w:vAlign w:val="center"/>
          </w:tcPr>
          <w:p w:rsidR="00BC644F" w:rsidRPr="006647D5" w:rsidRDefault="00BC644F" w:rsidP="00853F0B">
            <w:pPr>
              <w:pStyle w:val="BodyTextIndent"/>
              <w:spacing w:after="40"/>
              <w:ind w:left="0"/>
              <w:rPr>
                <w:rFonts w:ascii="Arial" w:hAnsi="Arial" w:cs="Arial"/>
                <w:b/>
                <w:color w:val="FFFFFF" w:themeColor="background1"/>
                <w:sz w:val="20"/>
                <w:szCs w:val="20"/>
              </w:rPr>
            </w:pPr>
            <w:r w:rsidRPr="006647D5">
              <w:rPr>
                <w:rFonts w:ascii="Arial" w:hAnsi="Arial" w:cs="Arial"/>
                <w:b/>
                <w:color w:val="FFFFFF" w:themeColor="background1"/>
                <w:sz w:val="20"/>
                <w:szCs w:val="20"/>
              </w:rPr>
              <w:t>Job title</w:t>
            </w:r>
          </w:p>
        </w:tc>
      </w:tr>
      <w:tr w:rsidR="00BC644F" w:rsidRPr="007E2EC6" w:rsidTr="00853F0B">
        <w:trPr>
          <w:trHeight w:val="340"/>
        </w:trPr>
        <w:tc>
          <w:tcPr>
            <w:tcW w:w="1778" w:type="pct"/>
            <w:tcBorders>
              <w:top w:val="nil"/>
              <w:bottom w:val="single" w:sz="4" w:space="0" w:color="0070C0"/>
              <w:right w:val="single" w:sz="4" w:space="0" w:color="0070C0"/>
            </w:tcBorders>
          </w:tcPr>
          <w:p w:rsidR="00BC644F" w:rsidRPr="006647D5" w:rsidRDefault="00486B6F" w:rsidP="00853F0B">
            <w:pPr>
              <w:spacing w:before="60" w:after="60"/>
              <w:rPr>
                <w:bCs/>
                <w:sz w:val="20"/>
                <w:szCs w:val="20"/>
              </w:rPr>
            </w:pPr>
            <w:r>
              <w:rPr>
                <w:bCs/>
                <w:sz w:val="20"/>
                <w:szCs w:val="20"/>
              </w:rPr>
              <w:t>Jon Hossain</w:t>
            </w:r>
          </w:p>
        </w:tc>
        <w:tc>
          <w:tcPr>
            <w:tcW w:w="3222" w:type="pct"/>
            <w:tcBorders>
              <w:top w:val="nil"/>
              <w:left w:val="single" w:sz="4" w:space="0" w:color="0070C0"/>
              <w:bottom w:val="single" w:sz="4" w:space="0" w:color="0070C0"/>
            </w:tcBorders>
          </w:tcPr>
          <w:p w:rsidR="00BC644F" w:rsidRPr="006647D5" w:rsidRDefault="00D27843" w:rsidP="000A0793">
            <w:pPr>
              <w:spacing w:before="60" w:after="60"/>
              <w:rPr>
                <w:sz w:val="20"/>
                <w:szCs w:val="20"/>
              </w:rPr>
            </w:pPr>
            <w:r>
              <w:rPr>
                <w:sz w:val="20"/>
                <w:szCs w:val="20"/>
              </w:rPr>
              <w:t xml:space="preserve">Deputy </w:t>
            </w:r>
            <w:r w:rsidR="00F36382">
              <w:rPr>
                <w:sz w:val="20"/>
                <w:szCs w:val="20"/>
              </w:rPr>
              <w:t>Dean</w:t>
            </w:r>
            <w:r>
              <w:rPr>
                <w:sz w:val="20"/>
                <w:szCs w:val="20"/>
              </w:rPr>
              <w:t xml:space="preserve"> and Clinical Lead for Quality</w:t>
            </w:r>
            <w:r w:rsidR="00F36382">
              <w:rPr>
                <w:sz w:val="20"/>
                <w:szCs w:val="20"/>
              </w:rPr>
              <w:t xml:space="preserve"> (Chair)</w:t>
            </w:r>
          </w:p>
        </w:tc>
      </w:tr>
      <w:tr w:rsidR="00486B6F" w:rsidRPr="007E2EC6" w:rsidTr="00853F0B">
        <w:trPr>
          <w:trHeight w:val="340"/>
        </w:trPr>
        <w:tc>
          <w:tcPr>
            <w:tcW w:w="1778" w:type="pct"/>
            <w:tcBorders>
              <w:top w:val="nil"/>
              <w:bottom w:val="single" w:sz="4" w:space="0" w:color="0070C0"/>
              <w:right w:val="single" w:sz="4" w:space="0" w:color="0070C0"/>
            </w:tcBorders>
          </w:tcPr>
          <w:p w:rsidR="00486B6F" w:rsidRDefault="00486B6F" w:rsidP="00853F0B">
            <w:pPr>
              <w:spacing w:before="60" w:after="60"/>
              <w:rPr>
                <w:bCs/>
                <w:sz w:val="20"/>
                <w:szCs w:val="20"/>
              </w:rPr>
            </w:pPr>
            <w:r>
              <w:rPr>
                <w:bCs/>
                <w:sz w:val="20"/>
                <w:szCs w:val="20"/>
              </w:rPr>
              <w:t>Fiona Bishop</w:t>
            </w:r>
          </w:p>
        </w:tc>
        <w:tc>
          <w:tcPr>
            <w:tcW w:w="3222" w:type="pct"/>
            <w:tcBorders>
              <w:top w:val="nil"/>
              <w:left w:val="single" w:sz="4" w:space="0" w:color="0070C0"/>
              <w:bottom w:val="single" w:sz="4" w:space="0" w:color="0070C0"/>
            </w:tcBorders>
          </w:tcPr>
          <w:p w:rsidR="00486B6F" w:rsidRDefault="00486B6F" w:rsidP="000A0793">
            <w:pPr>
              <w:spacing w:before="60" w:after="60"/>
              <w:rPr>
                <w:sz w:val="20"/>
                <w:szCs w:val="20"/>
              </w:rPr>
            </w:pPr>
            <w:r>
              <w:rPr>
                <w:sz w:val="20"/>
                <w:szCs w:val="20"/>
              </w:rPr>
              <w:t>Associate Dean (Chair)</w:t>
            </w:r>
          </w:p>
        </w:tc>
      </w:tr>
      <w:tr w:rsidR="00BC644F" w:rsidRPr="007E2EC6" w:rsidTr="00853F0B">
        <w:trPr>
          <w:trHeight w:val="340"/>
        </w:trPr>
        <w:tc>
          <w:tcPr>
            <w:tcW w:w="1778" w:type="pct"/>
            <w:tcBorders>
              <w:top w:val="single" w:sz="4" w:space="0" w:color="0070C0"/>
              <w:bottom w:val="single" w:sz="4" w:space="0" w:color="0070C0"/>
              <w:right w:val="single" w:sz="4" w:space="0" w:color="0070C0"/>
            </w:tcBorders>
          </w:tcPr>
          <w:p w:rsidR="00BC644F" w:rsidRPr="006647D5" w:rsidRDefault="00486B6F" w:rsidP="00853F0B">
            <w:pPr>
              <w:spacing w:before="60" w:after="60"/>
              <w:rPr>
                <w:bCs/>
                <w:sz w:val="20"/>
                <w:szCs w:val="20"/>
              </w:rPr>
            </w:pPr>
            <w:r>
              <w:rPr>
                <w:bCs/>
                <w:sz w:val="20"/>
                <w:szCs w:val="20"/>
              </w:rPr>
              <w:t xml:space="preserve">Gary </w:t>
            </w:r>
            <w:proofErr w:type="spellStart"/>
            <w:r>
              <w:rPr>
                <w:bCs/>
                <w:sz w:val="20"/>
                <w:szCs w:val="20"/>
              </w:rPr>
              <w:t>McGullagh</w:t>
            </w:r>
            <w:proofErr w:type="spellEnd"/>
          </w:p>
        </w:tc>
        <w:tc>
          <w:tcPr>
            <w:tcW w:w="3222" w:type="pct"/>
            <w:tcBorders>
              <w:top w:val="single" w:sz="4" w:space="0" w:color="0070C0"/>
              <w:left w:val="single" w:sz="4" w:space="0" w:color="0070C0"/>
              <w:bottom w:val="single" w:sz="4" w:space="0" w:color="0070C0"/>
            </w:tcBorders>
          </w:tcPr>
          <w:p w:rsidR="00BC644F" w:rsidRPr="006647D5" w:rsidRDefault="00F36382" w:rsidP="00853F0B">
            <w:pPr>
              <w:spacing w:before="60" w:after="60"/>
              <w:rPr>
                <w:sz w:val="20"/>
                <w:szCs w:val="20"/>
              </w:rPr>
            </w:pPr>
            <w:r>
              <w:rPr>
                <w:sz w:val="20"/>
                <w:szCs w:val="20"/>
              </w:rPr>
              <w:t>External Advisor</w:t>
            </w:r>
          </w:p>
        </w:tc>
      </w:tr>
      <w:tr w:rsidR="00486B6F" w:rsidRPr="007E2EC6" w:rsidTr="00853F0B">
        <w:trPr>
          <w:trHeight w:val="340"/>
        </w:trPr>
        <w:tc>
          <w:tcPr>
            <w:tcW w:w="1778" w:type="pct"/>
            <w:tcBorders>
              <w:top w:val="single" w:sz="4" w:space="0" w:color="0070C0"/>
              <w:bottom w:val="single" w:sz="4" w:space="0" w:color="0070C0"/>
              <w:right w:val="single" w:sz="4" w:space="0" w:color="0070C0"/>
            </w:tcBorders>
          </w:tcPr>
          <w:p w:rsidR="00486B6F" w:rsidRDefault="00486B6F" w:rsidP="00853F0B">
            <w:pPr>
              <w:spacing w:before="60" w:after="60"/>
              <w:rPr>
                <w:bCs/>
                <w:sz w:val="20"/>
                <w:szCs w:val="20"/>
              </w:rPr>
            </w:pPr>
            <w:r>
              <w:rPr>
                <w:bCs/>
                <w:sz w:val="20"/>
                <w:szCs w:val="20"/>
              </w:rPr>
              <w:t>Sara Stoneham</w:t>
            </w:r>
          </w:p>
        </w:tc>
        <w:tc>
          <w:tcPr>
            <w:tcW w:w="3222" w:type="pct"/>
            <w:tcBorders>
              <w:top w:val="single" w:sz="4" w:space="0" w:color="0070C0"/>
              <w:left w:val="single" w:sz="4" w:space="0" w:color="0070C0"/>
              <w:bottom w:val="single" w:sz="4" w:space="0" w:color="0070C0"/>
            </w:tcBorders>
          </w:tcPr>
          <w:p w:rsidR="00486B6F" w:rsidRDefault="00486B6F" w:rsidP="00853F0B">
            <w:pPr>
              <w:spacing w:before="60" w:after="60"/>
              <w:rPr>
                <w:sz w:val="20"/>
                <w:szCs w:val="20"/>
              </w:rPr>
            </w:pPr>
            <w:r>
              <w:rPr>
                <w:sz w:val="20"/>
                <w:szCs w:val="20"/>
              </w:rPr>
              <w:t>External Advisor</w:t>
            </w:r>
          </w:p>
        </w:tc>
      </w:tr>
      <w:tr w:rsidR="00486B6F" w:rsidRPr="007E2EC6" w:rsidTr="00853F0B">
        <w:trPr>
          <w:trHeight w:val="340"/>
        </w:trPr>
        <w:tc>
          <w:tcPr>
            <w:tcW w:w="1778" w:type="pct"/>
            <w:tcBorders>
              <w:top w:val="single" w:sz="4" w:space="0" w:color="0070C0"/>
              <w:bottom w:val="single" w:sz="4" w:space="0" w:color="0070C0"/>
              <w:right w:val="single" w:sz="4" w:space="0" w:color="0070C0"/>
            </w:tcBorders>
          </w:tcPr>
          <w:p w:rsidR="00486B6F" w:rsidRDefault="00486B6F" w:rsidP="00486B6F">
            <w:pPr>
              <w:spacing w:before="60" w:after="60"/>
              <w:rPr>
                <w:bCs/>
                <w:sz w:val="20"/>
                <w:szCs w:val="20"/>
              </w:rPr>
            </w:pPr>
            <w:r>
              <w:rPr>
                <w:bCs/>
                <w:sz w:val="20"/>
                <w:szCs w:val="20"/>
              </w:rPr>
              <w:t>Judith VanDerVoort</w:t>
            </w:r>
          </w:p>
        </w:tc>
        <w:tc>
          <w:tcPr>
            <w:tcW w:w="3222" w:type="pct"/>
            <w:tcBorders>
              <w:top w:val="single" w:sz="4" w:space="0" w:color="0070C0"/>
              <w:left w:val="single" w:sz="4" w:space="0" w:color="0070C0"/>
              <w:bottom w:val="single" w:sz="4" w:space="0" w:color="0070C0"/>
            </w:tcBorders>
          </w:tcPr>
          <w:p w:rsidR="00486B6F" w:rsidRDefault="00486B6F" w:rsidP="00486B6F">
            <w:pPr>
              <w:spacing w:before="60" w:after="60"/>
              <w:rPr>
                <w:sz w:val="20"/>
                <w:szCs w:val="20"/>
              </w:rPr>
            </w:pPr>
            <w:r>
              <w:rPr>
                <w:sz w:val="20"/>
                <w:szCs w:val="20"/>
              </w:rPr>
              <w:t>External Advisor</w:t>
            </w:r>
          </w:p>
        </w:tc>
      </w:tr>
      <w:tr w:rsidR="00486B6F" w:rsidRPr="007E2EC6" w:rsidTr="00853F0B">
        <w:trPr>
          <w:trHeight w:val="340"/>
        </w:trPr>
        <w:tc>
          <w:tcPr>
            <w:tcW w:w="1778" w:type="pct"/>
            <w:tcBorders>
              <w:top w:val="single" w:sz="4" w:space="0" w:color="0070C0"/>
              <w:bottom w:val="single" w:sz="4" w:space="0" w:color="0070C0"/>
              <w:right w:val="single" w:sz="4" w:space="0" w:color="0070C0"/>
            </w:tcBorders>
          </w:tcPr>
          <w:p w:rsidR="00486B6F" w:rsidRDefault="00486B6F" w:rsidP="00486B6F">
            <w:pPr>
              <w:spacing w:before="60" w:after="60"/>
              <w:rPr>
                <w:bCs/>
                <w:sz w:val="20"/>
                <w:szCs w:val="20"/>
              </w:rPr>
            </w:pPr>
            <w:r>
              <w:rPr>
                <w:bCs/>
                <w:sz w:val="20"/>
                <w:szCs w:val="20"/>
              </w:rPr>
              <w:t>Ian Sinha</w:t>
            </w:r>
          </w:p>
        </w:tc>
        <w:tc>
          <w:tcPr>
            <w:tcW w:w="3222" w:type="pct"/>
            <w:tcBorders>
              <w:top w:val="single" w:sz="4" w:space="0" w:color="0070C0"/>
              <w:left w:val="single" w:sz="4" w:space="0" w:color="0070C0"/>
              <w:bottom w:val="single" w:sz="4" w:space="0" w:color="0070C0"/>
            </w:tcBorders>
          </w:tcPr>
          <w:p w:rsidR="00486B6F" w:rsidRDefault="00486B6F" w:rsidP="00486B6F">
            <w:pPr>
              <w:spacing w:before="60" w:after="60"/>
              <w:rPr>
                <w:sz w:val="20"/>
                <w:szCs w:val="20"/>
              </w:rPr>
            </w:pPr>
            <w:r>
              <w:rPr>
                <w:sz w:val="20"/>
                <w:szCs w:val="20"/>
              </w:rPr>
              <w:t>External Advisor</w:t>
            </w:r>
          </w:p>
        </w:tc>
      </w:tr>
      <w:tr w:rsidR="00BC644F" w:rsidRPr="007E2EC6" w:rsidTr="00853F0B">
        <w:trPr>
          <w:trHeight w:val="340"/>
        </w:trPr>
        <w:tc>
          <w:tcPr>
            <w:tcW w:w="1778" w:type="pct"/>
            <w:tcBorders>
              <w:top w:val="single" w:sz="4" w:space="0" w:color="0070C0"/>
              <w:bottom w:val="single" w:sz="4" w:space="0" w:color="0070C0"/>
              <w:right w:val="single" w:sz="4" w:space="0" w:color="0070C0"/>
            </w:tcBorders>
          </w:tcPr>
          <w:p w:rsidR="00BC644F" w:rsidRPr="006647D5" w:rsidRDefault="00486B6F" w:rsidP="00853F0B">
            <w:pPr>
              <w:spacing w:before="60" w:after="60"/>
              <w:rPr>
                <w:bCs/>
                <w:sz w:val="20"/>
                <w:szCs w:val="20"/>
              </w:rPr>
            </w:pPr>
            <w:r>
              <w:rPr>
                <w:bCs/>
                <w:sz w:val="20"/>
                <w:szCs w:val="20"/>
              </w:rPr>
              <w:t>Suzy Stirling</w:t>
            </w:r>
          </w:p>
        </w:tc>
        <w:tc>
          <w:tcPr>
            <w:tcW w:w="3222" w:type="pct"/>
            <w:tcBorders>
              <w:top w:val="single" w:sz="4" w:space="0" w:color="0070C0"/>
              <w:left w:val="single" w:sz="4" w:space="0" w:color="0070C0"/>
              <w:bottom w:val="single" w:sz="4" w:space="0" w:color="0070C0"/>
            </w:tcBorders>
          </w:tcPr>
          <w:p w:rsidR="00BC644F" w:rsidRPr="006647D5" w:rsidRDefault="00486B6F" w:rsidP="00853F0B">
            <w:pPr>
              <w:spacing w:before="60" w:after="60"/>
              <w:rPr>
                <w:sz w:val="20"/>
                <w:szCs w:val="20"/>
              </w:rPr>
            </w:pPr>
            <w:r>
              <w:rPr>
                <w:sz w:val="20"/>
                <w:szCs w:val="20"/>
              </w:rPr>
              <w:t>Observer</w:t>
            </w:r>
          </w:p>
        </w:tc>
      </w:tr>
      <w:tr w:rsidR="00BC644F" w:rsidRPr="007E2EC6" w:rsidTr="00853F0B">
        <w:trPr>
          <w:trHeight w:val="340"/>
        </w:trPr>
        <w:tc>
          <w:tcPr>
            <w:tcW w:w="1778" w:type="pct"/>
            <w:tcBorders>
              <w:top w:val="single" w:sz="4" w:space="0" w:color="0070C0"/>
              <w:bottom w:val="single" w:sz="4" w:space="0" w:color="0070C0"/>
              <w:right w:val="single" w:sz="4" w:space="0" w:color="0070C0"/>
            </w:tcBorders>
          </w:tcPr>
          <w:p w:rsidR="00BC644F" w:rsidRPr="006647D5" w:rsidRDefault="00486B6F" w:rsidP="00853F0B">
            <w:pPr>
              <w:spacing w:before="60" w:after="60"/>
              <w:rPr>
                <w:bCs/>
                <w:sz w:val="20"/>
                <w:szCs w:val="20"/>
              </w:rPr>
            </w:pPr>
            <w:r>
              <w:rPr>
                <w:bCs/>
                <w:sz w:val="20"/>
                <w:szCs w:val="20"/>
              </w:rPr>
              <w:t>Helen Weldon</w:t>
            </w:r>
          </w:p>
        </w:tc>
        <w:tc>
          <w:tcPr>
            <w:tcW w:w="3222" w:type="pct"/>
            <w:tcBorders>
              <w:top w:val="single" w:sz="4" w:space="0" w:color="0070C0"/>
              <w:left w:val="single" w:sz="4" w:space="0" w:color="0070C0"/>
              <w:bottom w:val="single" w:sz="4" w:space="0" w:color="0070C0"/>
            </w:tcBorders>
          </w:tcPr>
          <w:p w:rsidR="00BC644F" w:rsidRPr="006647D5" w:rsidRDefault="00F36382" w:rsidP="00853F0B">
            <w:pPr>
              <w:spacing w:before="60" w:after="60"/>
              <w:rPr>
                <w:sz w:val="20"/>
                <w:szCs w:val="20"/>
              </w:rPr>
            </w:pPr>
            <w:r>
              <w:rPr>
                <w:sz w:val="20"/>
                <w:szCs w:val="20"/>
              </w:rPr>
              <w:t>Lay Representative</w:t>
            </w:r>
          </w:p>
        </w:tc>
      </w:tr>
    </w:tbl>
    <w:p w:rsidR="00BC644F" w:rsidRDefault="00BC644F" w:rsidP="00BC644F">
      <w:pPr>
        <w:pStyle w:val="Heading2"/>
      </w:pPr>
    </w:p>
    <w:p w:rsidR="00E2631D" w:rsidRDefault="00E2631D" w:rsidP="00E2631D"/>
    <w:p w:rsidR="00D27843" w:rsidRDefault="00D27843" w:rsidP="00E2631D"/>
    <w:p w:rsidR="00D27843" w:rsidRDefault="00D27843" w:rsidP="00E2631D"/>
    <w:p w:rsidR="00D27843" w:rsidRDefault="00D27843" w:rsidP="00E2631D"/>
    <w:p w:rsidR="00D27843" w:rsidRPr="00E2631D" w:rsidRDefault="00D27843" w:rsidP="00E2631D"/>
    <w:p w:rsidR="00F304E8" w:rsidRDefault="00F304E8" w:rsidP="00F304E8">
      <w:pPr>
        <w:pStyle w:val="Heading2"/>
      </w:pPr>
      <w:r>
        <w:t>Executive summary</w:t>
      </w:r>
    </w:p>
    <w:tbl>
      <w:tblPr>
        <w:tblStyle w:val="TableGrid"/>
        <w:tblW w:w="0" w:type="auto"/>
        <w:tblInd w:w="108"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923"/>
      </w:tblGrid>
      <w:tr w:rsidR="00F304E8" w:rsidTr="00F304E8">
        <w:tc>
          <w:tcPr>
            <w:tcW w:w="9923" w:type="dxa"/>
          </w:tcPr>
          <w:p w:rsidR="000613BC" w:rsidRDefault="00E504CC" w:rsidP="000613BC">
            <w:pPr>
              <w:spacing w:after="200" w:line="276" w:lineRule="auto"/>
              <w:contextualSpacing/>
              <w:rPr>
                <w:rFonts w:eastAsia="Times New Roman"/>
              </w:rPr>
            </w:pPr>
            <w:r w:rsidRPr="00021E44">
              <w:rPr>
                <w:sz w:val="20"/>
                <w:szCs w:val="20"/>
              </w:rPr>
              <w:t xml:space="preserve">Representation from the </w:t>
            </w:r>
            <w:r w:rsidR="005A6BAC">
              <w:rPr>
                <w:sz w:val="20"/>
                <w:szCs w:val="20"/>
              </w:rPr>
              <w:t>p</w:t>
            </w:r>
            <w:r w:rsidR="00CD35FB">
              <w:rPr>
                <w:sz w:val="20"/>
                <w:szCs w:val="20"/>
              </w:rPr>
              <w:t xml:space="preserve">rogramme </w:t>
            </w:r>
            <w:r w:rsidRPr="00021E44">
              <w:rPr>
                <w:sz w:val="20"/>
                <w:szCs w:val="20"/>
              </w:rPr>
              <w:t>was excell</w:t>
            </w:r>
            <w:r w:rsidR="00AE7F35" w:rsidRPr="00021E44">
              <w:rPr>
                <w:sz w:val="20"/>
                <w:szCs w:val="20"/>
              </w:rPr>
              <w:t xml:space="preserve">ent with </w:t>
            </w:r>
            <w:r w:rsidR="00174A83">
              <w:rPr>
                <w:sz w:val="20"/>
                <w:szCs w:val="20"/>
              </w:rPr>
              <w:t>twenty-six</w:t>
            </w:r>
            <w:r w:rsidR="006A1C8F" w:rsidRPr="00021E44">
              <w:rPr>
                <w:sz w:val="20"/>
                <w:szCs w:val="20"/>
              </w:rPr>
              <w:t xml:space="preserve"> </w:t>
            </w:r>
            <w:r w:rsidR="00AE7F35" w:rsidRPr="00021E44">
              <w:rPr>
                <w:sz w:val="20"/>
                <w:szCs w:val="20"/>
              </w:rPr>
              <w:t xml:space="preserve">educators </w:t>
            </w:r>
            <w:r w:rsidRPr="00021E44">
              <w:rPr>
                <w:sz w:val="20"/>
                <w:szCs w:val="20"/>
              </w:rPr>
              <w:t xml:space="preserve">and </w:t>
            </w:r>
            <w:r w:rsidR="00174A83">
              <w:rPr>
                <w:sz w:val="20"/>
                <w:szCs w:val="20"/>
              </w:rPr>
              <w:t xml:space="preserve">thirty-four </w:t>
            </w:r>
            <w:r w:rsidRPr="00021E44">
              <w:rPr>
                <w:sz w:val="20"/>
                <w:szCs w:val="20"/>
              </w:rPr>
              <w:t>trainees</w:t>
            </w:r>
            <w:r w:rsidR="006A1C8F" w:rsidRPr="00021E44">
              <w:rPr>
                <w:sz w:val="20"/>
                <w:szCs w:val="20"/>
              </w:rPr>
              <w:t xml:space="preserve"> in the </w:t>
            </w:r>
            <w:r w:rsidR="00C57386">
              <w:rPr>
                <w:sz w:val="20"/>
                <w:szCs w:val="20"/>
              </w:rPr>
              <w:t>Yorkshire and Humber</w:t>
            </w:r>
            <w:r w:rsidR="00F76424">
              <w:rPr>
                <w:sz w:val="20"/>
                <w:szCs w:val="20"/>
              </w:rPr>
              <w:t xml:space="preserve"> </w:t>
            </w:r>
            <w:r w:rsidR="00F76424">
              <w:rPr>
                <w:noProof/>
                <w:sz w:val="20"/>
                <w:szCs w:val="20"/>
              </w:rPr>
              <w:t xml:space="preserve">(Y&amp;H) </w:t>
            </w:r>
            <w:r w:rsidR="006A1C8F" w:rsidRPr="00021E44">
              <w:rPr>
                <w:sz w:val="20"/>
                <w:szCs w:val="20"/>
              </w:rPr>
              <w:t>region</w:t>
            </w:r>
            <w:r w:rsidRPr="00021E44">
              <w:rPr>
                <w:sz w:val="20"/>
                <w:szCs w:val="20"/>
              </w:rPr>
              <w:t xml:space="preserve"> </w:t>
            </w:r>
            <w:r w:rsidR="00F32B38" w:rsidRPr="00021E44">
              <w:rPr>
                <w:sz w:val="20"/>
                <w:szCs w:val="20"/>
              </w:rPr>
              <w:t>in attendance</w:t>
            </w:r>
            <w:r w:rsidRPr="00021E44">
              <w:rPr>
                <w:sz w:val="20"/>
                <w:szCs w:val="20"/>
              </w:rPr>
              <w:t xml:space="preserve">.  </w:t>
            </w:r>
            <w:r w:rsidR="00D92BA5">
              <w:rPr>
                <w:sz w:val="20"/>
                <w:szCs w:val="20"/>
              </w:rPr>
              <w:t>It should be noted that the hig</w:t>
            </w:r>
            <w:r w:rsidR="005A6BAC">
              <w:rPr>
                <w:sz w:val="20"/>
                <w:szCs w:val="20"/>
              </w:rPr>
              <w:t>h level of engagement from the f</w:t>
            </w:r>
            <w:r w:rsidR="00D92BA5">
              <w:rPr>
                <w:sz w:val="20"/>
                <w:szCs w:val="20"/>
              </w:rPr>
              <w:t xml:space="preserve">aculty team during the organisation of the review was welcome and appreciated.  </w:t>
            </w:r>
            <w:r w:rsidR="00563C76">
              <w:rPr>
                <w:sz w:val="20"/>
                <w:szCs w:val="20"/>
              </w:rPr>
              <w:br/>
            </w:r>
            <w:r w:rsidR="00563C76">
              <w:rPr>
                <w:sz w:val="20"/>
                <w:szCs w:val="20"/>
              </w:rPr>
              <w:br/>
            </w:r>
            <w:r w:rsidR="006C243A">
              <w:rPr>
                <w:sz w:val="20"/>
                <w:szCs w:val="20"/>
              </w:rPr>
              <w:t>The reason for the review was a result of poor G</w:t>
            </w:r>
            <w:r w:rsidR="00A763DD">
              <w:rPr>
                <w:sz w:val="20"/>
                <w:szCs w:val="20"/>
              </w:rPr>
              <w:t>eneral M</w:t>
            </w:r>
            <w:r w:rsidR="00180C78">
              <w:rPr>
                <w:sz w:val="20"/>
                <w:szCs w:val="20"/>
              </w:rPr>
              <w:t>edical Council National Training Survey (G</w:t>
            </w:r>
            <w:r w:rsidR="006C243A">
              <w:rPr>
                <w:sz w:val="20"/>
                <w:szCs w:val="20"/>
              </w:rPr>
              <w:t>MC NTS</w:t>
            </w:r>
            <w:r w:rsidR="00180C78">
              <w:rPr>
                <w:sz w:val="20"/>
                <w:szCs w:val="20"/>
              </w:rPr>
              <w:t>)</w:t>
            </w:r>
            <w:r w:rsidR="006C243A">
              <w:rPr>
                <w:sz w:val="20"/>
                <w:szCs w:val="20"/>
              </w:rPr>
              <w:t xml:space="preserve"> results from 2017 </w:t>
            </w:r>
            <w:r w:rsidR="000613BC">
              <w:rPr>
                <w:sz w:val="20"/>
                <w:szCs w:val="20"/>
              </w:rPr>
              <w:t xml:space="preserve">as well as local intelligence which indicated the following concerns: </w:t>
            </w:r>
          </w:p>
          <w:p w:rsidR="000613BC" w:rsidRPr="00FA51FB" w:rsidRDefault="000613BC" w:rsidP="000613BC">
            <w:pPr>
              <w:pStyle w:val="ListParagraph"/>
              <w:numPr>
                <w:ilvl w:val="0"/>
                <w:numId w:val="39"/>
              </w:numPr>
              <w:rPr>
                <w:sz w:val="20"/>
              </w:rPr>
            </w:pPr>
            <w:r w:rsidRPr="00FA51FB">
              <w:rPr>
                <w:sz w:val="20"/>
              </w:rPr>
              <w:t>Inability to produce rotation dates in time</w:t>
            </w:r>
          </w:p>
          <w:p w:rsidR="000613BC" w:rsidRPr="00FA51FB" w:rsidRDefault="000613BC" w:rsidP="000613BC">
            <w:pPr>
              <w:pStyle w:val="ListParagraph"/>
              <w:numPr>
                <w:ilvl w:val="0"/>
                <w:numId w:val="39"/>
              </w:numPr>
              <w:rPr>
                <w:sz w:val="20"/>
              </w:rPr>
            </w:pPr>
            <w:r w:rsidRPr="00FA51FB">
              <w:rPr>
                <w:sz w:val="20"/>
              </w:rPr>
              <w:t>Multiple versions of rotations</w:t>
            </w:r>
          </w:p>
          <w:p w:rsidR="000613BC" w:rsidRPr="00FA51FB" w:rsidRDefault="000613BC" w:rsidP="000613BC">
            <w:pPr>
              <w:pStyle w:val="ListParagraph"/>
              <w:numPr>
                <w:ilvl w:val="0"/>
                <w:numId w:val="39"/>
              </w:numPr>
              <w:rPr>
                <w:sz w:val="20"/>
              </w:rPr>
            </w:pPr>
            <w:r w:rsidRPr="00FA51FB">
              <w:rPr>
                <w:sz w:val="20"/>
              </w:rPr>
              <w:t>Necessity of frequent moving around of trainees</w:t>
            </w:r>
          </w:p>
          <w:p w:rsidR="000613BC" w:rsidRPr="00FA51FB" w:rsidRDefault="000613BC" w:rsidP="000613BC">
            <w:pPr>
              <w:pStyle w:val="ListParagraph"/>
              <w:numPr>
                <w:ilvl w:val="0"/>
                <w:numId w:val="39"/>
              </w:numPr>
              <w:rPr>
                <w:sz w:val="20"/>
              </w:rPr>
            </w:pPr>
            <w:r w:rsidRPr="00FA51FB">
              <w:rPr>
                <w:sz w:val="20"/>
              </w:rPr>
              <w:t>Exam failures</w:t>
            </w:r>
          </w:p>
          <w:p w:rsidR="00FA51FB" w:rsidRDefault="000613BC" w:rsidP="000613BC">
            <w:pPr>
              <w:pStyle w:val="ListParagraph"/>
              <w:numPr>
                <w:ilvl w:val="0"/>
                <w:numId w:val="39"/>
              </w:numPr>
              <w:rPr>
                <w:sz w:val="20"/>
              </w:rPr>
            </w:pPr>
            <w:r w:rsidRPr="00FA51FB">
              <w:rPr>
                <w:sz w:val="20"/>
              </w:rPr>
              <w:t xml:space="preserve">Poor survey results </w:t>
            </w:r>
            <w:r w:rsidR="00FA51FB">
              <w:rPr>
                <w:sz w:val="20"/>
              </w:rPr>
              <w:t>in Paediatrics for</w:t>
            </w:r>
            <w:r w:rsidRPr="00FA51FB">
              <w:rPr>
                <w:sz w:val="20"/>
              </w:rPr>
              <w:t xml:space="preserve"> Nephrology, Neurology and Oncology</w:t>
            </w:r>
            <w:r w:rsidR="00FA51FB">
              <w:rPr>
                <w:sz w:val="20"/>
              </w:rPr>
              <w:t xml:space="preserve"> </w:t>
            </w:r>
          </w:p>
          <w:p w:rsidR="000613BC" w:rsidRPr="00FA51FB" w:rsidRDefault="00FA51FB" w:rsidP="000613BC">
            <w:pPr>
              <w:pStyle w:val="ListParagraph"/>
              <w:numPr>
                <w:ilvl w:val="0"/>
                <w:numId w:val="39"/>
              </w:numPr>
              <w:rPr>
                <w:sz w:val="20"/>
              </w:rPr>
            </w:pPr>
            <w:r>
              <w:rPr>
                <w:sz w:val="20"/>
              </w:rPr>
              <w:t>GMC NTS 2017 results showed multiple red flags for study leave</w:t>
            </w:r>
          </w:p>
          <w:p w:rsidR="006C243A" w:rsidRDefault="00266F44" w:rsidP="006C243A">
            <w:pPr>
              <w:spacing w:after="200" w:line="276" w:lineRule="auto"/>
              <w:rPr>
                <w:sz w:val="20"/>
                <w:szCs w:val="20"/>
              </w:rPr>
            </w:pPr>
            <w:r>
              <w:rPr>
                <w:sz w:val="20"/>
                <w:szCs w:val="20"/>
              </w:rPr>
              <w:t>W</w:t>
            </w:r>
            <w:r w:rsidR="006C243A">
              <w:rPr>
                <w:sz w:val="20"/>
                <w:szCs w:val="20"/>
              </w:rPr>
              <w:t>hen directly asked trainees unanimously reported no concer</w:t>
            </w:r>
            <w:r>
              <w:rPr>
                <w:sz w:val="20"/>
                <w:szCs w:val="20"/>
              </w:rPr>
              <w:t>ns, and it was acknowledged that the school has worked hard to remedy this situation.</w:t>
            </w:r>
          </w:p>
          <w:p w:rsidR="00E529B3" w:rsidRDefault="00441906" w:rsidP="00E529B3">
            <w:pPr>
              <w:spacing w:after="200" w:line="276" w:lineRule="auto"/>
              <w:rPr>
                <w:noProof/>
                <w:sz w:val="20"/>
                <w:szCs w:val="20"/>
              </w:rPr>
            </w:pPr>
            <w:r>
              <w:rPr>
                <w:sz w:val="20"/>
                <w:szCs w:val="20"/>
              </w:rPr>
              <w:t>Overall it was a positive meeting, both trainers and trainees were engaged and largely happy.</w:t>
            </w:r>
            <w:r w:rsidR="00D453E9">
              <w:rPr>
                <w:sz w:val="20"/>
                <w:szCs w:val="20"/>
              </w:rPr>
              <w:t xml:space="preserve"> T</w:t>
            </w:r>
            <w:r w:rsidR="00172F54">
              <w:rPr>
                <w:sz w:val="20"/>
                <w:szCs w:val="20"/>
              </w:rPr>
              <w:t xml:space="preserve">rainees </w:t>
            </w:r>
            <w:r w:rsidR="00CA013F">
              <w:rPr>
                <w:sz w:val="20"/>
                <w:szCs w:val="20"/>
              </w:rPr>
              <w:t xml:space="preserve">reported that they </w:t>
            </w:r>
            <w:r w:rsidR="00172F54">
              <w:rPr>
                <w:sz w:val="20"/>
                <w:szCs w:val="20"/>
              </w:rPr>
              <w:t xml:space="preserve">felt supported by their </w:t>
            </w:r>
            <w:r w:rsidR="00CA013F">
              <w:rPr>
                <w:sz w:val="20"/>
                <w:szCs w:val="20"/>
              </w:rPr>
              <w:t>Educational Supervisor (</w:t>
            </w:r>
            <w:r w:rsidR="00172F54">
              <w:rPr>
                <w:sz w:val="20"/>
                <w:szCs w:val="20"/>
              </w:rPr>
              <w:t>ES</w:t>
            </w:r>
            <w:r w:rsidR="00CA013F">
              <w:rPr>
                <w:sz w:val="20"/>
                <w:szCs w:val="20"/>
              </w:rPr>
              <w:t>)</w:t>
            </w:r>
            <w:r w:rsidR="006C243A">
              <w:rPr>
                <w:sz w:val="20"/>
                <w:szCs w:val="20"/>
              </w:rPr>
              <w:t xml:space="preserve"> for example </w:t>
            </w:r>
            <w:r w:rsidR="00ED67F5">
              <w:rPr>
                <w:sz w:val="20"/>
                <w:szCs w:val="20"/>
              </w:rPr>
              <w:t xml:space="preserve">Neurology </w:t>
            </w:r>
            <w:r w:rsidR="006C243A">
              <w:rPr>
                <w:sz w:val="20"/>
                <w:szCs w:val="20"/>
              </w:rPr>
              <w:t>trainees at S</w:t>
            </w:r>
            <w:r w:rsidR="00180C78">
              <w:rPr>
                <w:sz w:val="20"/>
                <w:szCs w:val="20"/>
              </w:rPr>
              <w:t>heffield Teaching Hospitals Trust</w:t>
            </w:r>
            <w:r w:rsidR="006C243A">
              <w:rPr>
                <w:sz w:val="20"/>
                <w:szCs w:val="20"/>
              </w:rPr>
              <w:t xml:space="preserve"> </w:t>
            </w:r>
            <w:r w:rsidR="00ED67F5">
              <w:rPr>
                <w:sz w:val="20"/>
                <w:szCs w:val="20"/>
              </w:rPr>
              <w:t>reported</w:t>
            </w:r>
            <w:r w:rsidR="006C243A">
              <w:rPr>
                <w:sz w:val="20"/>
                <w:szCs w:val="20"/>
              </w:rPr>
              <w:t xml:space="preserve"> that </w:t>
            </w:r>
            <w:r w:rsidR="00ED67F5">
              <w:rPr>
                <w:sz w:val="20"/>
                <w:szCs w:val="20"/>
              </w:rPr>
              <w:t>they</w:t>
            </w:r>
            <w:r w:rsidR="006C243A">
              <w:rPr>
                <w:sz w:val="20"/>
                <w:szCs w:val="20"/>
              </w:rPr>
              <w:t xml:space="preserve"> had departmental teaching in </w:t>
            </w:r>
            <w:r w:rsidR="00C51571">
              <w:rPr>
                <w:sz w:val="20"/>
                <w:szCs w:val="20"/>
              </w:rPr>
              <w:t>P</w:t>
            </w:r>
            <w:r w:rsidR="006C243A">
              <w:rPr>
                <w:sz w:val="20"/>
                <w:szCs w:val="20"/>
              </w:rPr>
              <w:t>aediatrics and consultants are available when need</w:t>
            </w:r>
            <w:r w:rsidR="00ED67F5">
              <w:rPr>
                <w:sz w:val="20"/>
                <w:szCs w:val="20"/>
              </w:rPr>
              <w:t xml:space="preserve">ed. Trainees </w:t>
            </w:r>
            <w:r w:rsidR="00172F54">
              <w:rPr>
                <w:sz w:val="20"/>
                <w:szCs w:val="20"/>
              </w:rPr>
              <w:t xml:space="preserve">suggested that they </w:t>
            </w:r>
            <w:r w:rsidR="00E71FD7">
              <w:rPr>
                <w:sz w:val="20"/>
                <w:szCs w:val="20"/>
              </w:rPr>
              <w:t>w</w:t>
            </w:r>
            <w:r w:rsidR="00172F54">
              <w:rPr>
                <w:sz w:val="20"/>
                <w:szCs w:val="20"/>
              </w:rPr>
              <w:t>ould</w:t>
            </w:r>
            <w:r w:rsidR="00ED67F5">
              <w:rPr>
                <w:sz w:val="20"/>
                <w:szCs w:val="20"/>
              </w:rPr>
              <w:t xml:space="preserve"> benefit from having</w:t>
            </w:r>
            <w:r w:rsidR="00172F54">
              <w:rPr>
                <w:sz w:val="20"/>
                <w:szCs w:val="20"/>
              </w:rPr>
              <w:t xml:space="preserve"> the option to stay with the same</w:t>
            </w:r>
            <w:r w:rsidR="00ED67F5">
              <w:rPr>
                <w:sz w:val="20"/>
                <w:szCs w:val="20"/>
              </w:rPr>
              <w:t xml:space="preserve"> ES</w:t>
            </w:r>
            <w:r w:rsidR="00172F54">
              <w:rPr>
                <w:sz w:val="20"/>
                <w:szCs w:val="20"/>
              </w:rPr>
              <w:t xml:space="preserve"> throughout their training</w:t>
            </w:r>
            <w:r w:rsidR="006C243A">
              <w:rPr>
                <w:sz w:val="20"/>
                <w:szCs w:val="20"/>
              </w:rPr>
              <w:t xml:space="preserve"> as t</w:t>
            </w:r>
            <w:r w:rsidR="00172F54">
              <w:rPr>
                <w:sz w:val="20"/>
                <w:szCs w:val="20"/>
              </w:rPr>
              <w:t>his would give continuity</w:t>
            </w:r>
            <w:r w:rsidR="006C243A">
              <w:rPr>
                <w:sz w:val="20"/>
                <w:szCs w:val="20"/>
              </w:rPr>
              <w:t>,</w:t>
            </w:r>
            <w:r w:rsidR="00FA51FB">
              <w:rPr>
                <w:sz w:val="20"/>
                <w:szCs w:val="20"/>
              </w:rPr>
              <w:t xml:space="preserve"> as well as</w:t>
            </w:r>
            <w:r w:rsidR="00172F54">
              <w:rPr>
                <w:sz w:val="20"/>
                <w:szCs w:val="20"/>
              </w:rPr>
              <w:t xml:space="preserve"> build a better relation</w:t>
            </w:r>
            <w:r w:rsidR="006C243A">
              <w:rPr>
                <w:sz w:val="20"/>
                <w:szCs w:val="20"/>
              </w:rPr>
              <w:t>ship</w:t>
            </w:r>
            <w:r w:rsidR="00172F54">
              <w:rPr>
                <w:sz w:val="20"/>
                <w:szCs w:val="20"/>
              </w:rPr>
              <w:t xml:space="preserve"> and create understanding between the trainer and trainee</w:t>
            </w:r>
            <w:r w:rsidR="002550C1">
              <w:rPr>
                <w:sz w:val="20"/>
                <w:szCs w:val="20"/>
              </w:rPr>
              <w:t>.</w:t>
            </w:r>
            <w:r w:rsidR="006C243A">
              <w:rPr>
                <w:sz w:val="20"/>
                <w:szCs w:val="20"/>
              </w:rPr>
              <w:t xml:space="preserve"> </w:t>
            </w:r>
            <w:r w:rsidR="00CA013F">
              <w:rPr>
                <w:sz w:val="20"/>
                <w:szCs w:val="20"/>
              </w:rPr>
              <w:t xml:space="preserve">Additionally, </w:t>
            </w:r>
            <w:r w:rsidR="00E529B3">
              <w:rPr>
                <w:sz w:val="20"/>
                <w:szCs w:val="20"/>
              </w:rPr>
              <w:t>trainees and ESs</w:t>
            </w:r>
            <w:r w:rsidR="00CA013F">
              <w:rPr>
                <w:sz w:val="20"/>
                <w:szCs w:val="20"/>
              </w:rPr>
              <w:t xml:space="preserve"> agree</w:t>
            </w:r>
            <w:r w:rsidR="00E529B3">
              <w:rPr>
                <w:sz w:val="20"/>
                <w:szCs w:val="20"/>
              </w:rPr>
              <w:t xml:space="preserve"> that longer rotations</w:t>
            </w:r>
            <w:r w:rsidR="00E529B3">
              <w:rPr>
                <w:noProof/>
                <w:sz w:val="20"/>
                <w:szCs w:val="20"/>
              </w:rPr>
              <w:t xml:space="preserve"> </w:t>
            </w:r>
            <w:r w:rsidR="00E529B3" w:rsidRPr="00965449">
              <w:rPr>
                <w:noProof/>
                <w:sz w:val="20"/>
                <w:szCs w:val="20"/>
              </w:rPr>
              <w:t xml:space="preserve">especially for trainees living outside </w:t>
            </w:r>
            <w:r w:rsidR="00E529B3">
              <w:rPr>
                <w:noProof/>
                <w:sz w:val="20"/>
                <w:szCs w:val="20"/>
              </w:rPr>
              <w:t>Y</w:t>
            </w:r>
            <w:r w:rsidR="00180C78">
              <w:rPr>
                <w:noProof/>
                <w:sz w:val="20"/>
                <w:szCs w:val="20"/>
              </w:rPr>
              <w:t xml:space="preserve">orkshire </w:t>
            </w:r>
            <w:r w:rsidR="00E529B3">
              <w:rPr>
                <w:noProof/>
                <w:sz w:val="20"/>
                <w:szCs w:val="20"/>
              </w:rPr>
              <w:t>&amp;</w:t>
            </w:r>
            <w:r w:rsidR="00180C78">
              <w:rPr>
                <w:noProof/>
                <w:sz w:val="20"/>
                <w:szCs w:val="20"/>
              </w:rPr>
              <w:t xml:space="preserve"> the </w:t>
            </w:r>
            <w:r w:rsidR="00E529B3">
              <w:rPr>
                <w:noProof/>
                <w:sz w:val="20"/>
                <w:szCs w:val="20"/>
              </w:rPr>
              <w:t>H</w:t>
            </w:r>
            <w:r w:rsidR="00180C78">
              <w:rPr>
                <w:noProof/>
                <w:sz w:val="20"/>
                <w:szCs w:val="20"/>
              </w:rPr>
              <w:t xml:space="preserve">umber </w:t>
            </w:r>
            <w:r w:rsidR="00E529B3">
              <w:rPr>
                <w:noProof/>
                <w:sz w:val="20"/>
                <w:szCs w:val="20"/>
              </w:rPr>
              <w:t xml:space="preserve">would be advantageous.  </w:t>
            </w:r>
          </w:p>
          <w:p w:rsidR="00412A8C" w:rsidRDefault="006801F3" w:rsidP="00412A8C">
            <w:pPr>
              <w:spacing w:after="200" w:line="276" w:lineRule="auto"/>
              <w:rPr>
                <w:sz w:val="20"/>
                <w:szCs w:val="20"/>
              </w:rPr>
            </w:pPr>
            <w:r w:rsidRPr="00416A88">
              <w:rPr>
                <w:sz w:val="20"/>
                <w:szCs w:val="20"/>
              </w:rPr>
              <w:t xml:space="preserve">Trainees </w:t>
            </w:r>
            <w:r>
              <w:rPr>
                <w:sz w:val="20"/>
                <w:szCs w:val="20"/>
              </w:rPr>
              <w:t>and trainers provided numerous examples</w:t>
            </w:r>
            <w:r w:rsidRPr="000A3458">
              <w:rPr>
                <w:sz w:val="20"/>
                <w:szCs w:val="20"/>
              </w:rPr>
              <w:t xml:space="preserve"> of good practice for</w:t>
            </w:r>
            <w:r>
              <w:rPr>
                <w:b/>
                <w:sz w:val="20"/>
                <w:szCs w:val="20"/>
              </w:rPr>
              <w:t xml:space="preserve"> </w:t>
            </w:r>
            <w:r w:rsidRPr="00416A88">
              <w:rPr>
                <w:sz w:val="20"/>
                <w:szCs w:val="20"/>
              </w:rPr>
              <w:t>collaborative working</w:t>
            </w:r>
            <w:r>
              <w:rPr>
                <w:sz w:val="20"/>
                <w:szCs w:val="20"/>
              </w:rPr>
              <w:t xml:space="preserve"> and networking</w:t>
            </w:r>
            <w:r w:rsidR="00DE13E2">
              <w:rPr>
                <w:sz w:val="20"/>
                <w:szCs w:val="20"/>
              </w:rPr>
              <w:t>, which trainees valued</w:t>
            </w:r>
            <w:r>
              <w:rPr>
                <w:sz w:val="20"/>
                <w:szCs w:val="20"/>
              </w:rPr>
              <w:t xml:space="preserve"> ESs reported that within </w:t>
            </w:r>
            <w:r w:rsidR="009570BF">
              <w:rPr>
                <w:sz w:val="20"/>
                <w:szCs w:val="20"/>
              </w:rPr>
              <w:t>P</w:t>
            </w:r>
            <w:r>
              <w:rPr>
                <w:sz w:val="20"/>
                <w:szCs w:val="20"/>
              </w:rPr>
              <w:t xml:space="preserve">alliative </w:t>
            </w:r>
            <w:r w:rsidR="009570BF">
              <w:rPr>
                <w:sz w:val="20"/>
                <w:szCs w:val="20"/>
              </w:rPr>
              <w:t>C</w:t>
            </w:r>
            <w:r>
              <w:rPr>
                <w:sz w:val="20"/>
                <w:szCs w:val="20"/>
              </w:rPr>
              <w:t xml:space="preserve">are trainees rotate around sites which gives them </w:t>
            </w:r>
            <w:r w:rsidR="009570BF">
              <w:rPr>
                <w:sz w:val="20"/>
                <w:szCs w:val="20"/>
              </w:rPr>
              <w:t>the opportunity</w:t>
            </w:r>
            <w:r w:rsidR="009A6D14">
              <w:rPr>
                <w:sz w:val="20"/>
                <w:szCs w:val="20"/>
              </w:rPr>
              <w:t xml:space="preserve"> </w:t>
            </w:r>
            <w:r w:rsidR="00DE13E2">
              <w:rPr>
                <w:sz w:val="20"/>
                <w:szCs w:val="20"/>
              </w:rPr>
              <w:t xml:space="preserve">to network and discuss different approaches to cases. </w:t>
            </w:r>
            <w:r>
              <w:rPr>
                <w:sz w:val="20"/>
                <w:szCs w:val="20"/>
              </w:rPr>
              <w:t xml:space="preserve"> </w:t>
            </w:r>
            <w:r w:rsidR="00FA51FB">
              <w:rPr>
                <w:sz w:val="20"/>
                <w:szCs w:val="20"/>
              </w:rPr>
              <w:t>P</w:t>
            </w:r>
            <w:r>
              <w:rPr>
                <w:sz w:val="20"/>
                <w:szCs w:val="20"/>
              </w:rPr>
              <w:t xml:space="preserve">aediatric </w:t>
            </w:r>
            <w:r w:rsidR="00FA51FB">
              <w:rPr>
                <w:sz w:val="20"/>
                <w:szCs w:val="20"/>
              </w:rPr>
              <w:t>O</w:t>
            </w:r>
            <w:r>
              <w:rPr>
                <w:sz w:val="20"/>
                <w:szCs w:val="20"/>
              </w:rPr>
              <w:t xml:space="preserve">ncology </w:t>
            </w:r>
            <w:r w:rsidR="009570BF">
              <w:rPr>
                <w:sz w:val="20"/>
                <w:szCs w:val="20"/>
              </w:rPr>
              <w:t>meet</w:t>
            </w:r>
            <w:r>
              <w:rPr>
                <w:sz w:val="20"/>
                <w:szCs w:val="20"/>
              </w:rPr>
              <w:t xml:space="preserve"> bi-annually to receive an introduction to the specialty and network. Trainees suggested that</w:t>
            </w:r>
            <w:r w:rsidR="00ED0528">
              <w:rPr>
                <w:sz w:val="20"/>
                <w:szCs w:val="20"/>
              </w:rPr>
              <w:t xml:space="preserve"> Health Education England</w:t>
            </w:r>
            <w:r>
              <w:rPr>
                <w:sz w:val="20"/>
                <w:szCs w:val="20"/>
              </w:rPr>
              <w:t xml:space="preserve"> </w:t>
            </w:r>
            <w:r w:rsidR="00ED0528">
              <w:rPr>
                <w:sz w:val="20"/>
                <w:szCs w:val="20"/>
              </w:rPr>
              <w:t>(</w:t>
            </w:r>
            <w:r>
              <w:rPr>
                <w:sz w:val="20"/>
                <w:szCs w:val="20"/>
              </w:rPr>
              <w:t>HEE</w:t>
            </w:r>
            <w:r w:rsidR="00ED0528">
              <w:rPr>
                <w:sz w:val="20"/>
                <w:szCs w:val="20"/>
              </w:rPr>
              <w:t>)</w:t>
            </w:r>
            <w:r>
              <w:rPr>
                <w:sz w:val="20"/>
                <w:szCs w:val="20"/>
              </w:rPr>
              <w:t xml:space="preserve"> could coordinate similar exercise</w:t>
            </w:r>
            <w:r w:rsidR="00DE13E2">
              <w:rPr>
                <w:sz w:val="20"/>
                <w:szCs w:val="20"/>
              </w:rPr>
              <w:t>s</w:t>
            </w:r>
            <w:r>
              <w:rPr>
                <w:sz w:val="20"/>
                <w:szCs w:val="20"/>
              </w:rPr>
              <w:t xml:space="preserve"> where knowledge sharing, learning and good practice could be discussed.</w:t>
            </w:r>
            <w:r>
              <w:rPr>
                <w:sz w:val="20"/>
                <w:szCs w:val="20"/>
              </w:rPr>
              <w:br/>
            </w:r>
            <w:r w:rsidR="00D67B33">
              <w:rPr>
                <w:sz w:val="20"/>
                <w:szCs w:val="20"/>
              </w:rPr>
              <w:t>A</w:t>
            </w:r>
            <w:r>
              <w:rPr>
                <w:sz w:val="20"/>
                <w:szCs w:val="20"/>
              </w:rPr>
              <w:t xml:space="preserve"> multi-professional working </w:t>
            </w:r>
            <w:r w:rsidR="00180C78">
              <w:rPr>
                <w:sz w:val="20"/>
                <w:szCs w:val="20"/>
              </w:rPr>
              <w:t xml:space="preserve">strategy is being developed in </w:t>
            </w:r>
            <w:r w:rsidR="009570BF">
              <w:rPr>
                <w:sz w:val="20"/>
                <w:szCs w:val="20"/>
              </w:rPr>
              <w:t>P</w:t>
            </w:r>
            <w:r>
              <w:rPr>
                <w:sz w:val="20"/>
                <w:szCs w:val="20"/>
              </w:rPr>
              <w:t>aediatrics</w:t>
            </w:r>
            <w:r w:rsidR="00DE13E2">
              <w:rPr>
                <w:sz w:val="20"/>
                <w:szCs w:val="20"/>
              </w:rPr>
              <w:t xml:space="preserve"> across the </w:t>
            </w:r>
            <w:r w:rsidR="00565E8C">
              <w:rPr>
                <w:sz w:val="20"/>
                <w:szCs w:val="20"/>
              </w:rPr>
              <w:t>region with</w:t>
            </w:r>
            <w:r>
              <w:rPr>
                <w:sz w:val="20"/>
                <w:szCs w:val="20"/>
              </w:rPr>
              <w:t xml:space="preserve"> Advanced </w:t>
            </w:r>
            <w:r w:rsidR="009570BF">
              <w:rPr>
                <w:sz w:val="20"/>
                <w:szCs w:val="20"/>
              </w:rPr>
              <w:t xml:space="preserve">Clinical </w:t>
            </w:r>
            <w:r>
              <w:rPr>
                <w:sz w:val="20"/>
                <w:szCs w:val="20"/>
              </w:rPr>
              <w:t xml:space="preserve">Practitioners </w:t>
            </w:r>
            <w:r w:rsidR="009570BF">
              <w:rPr>
                <w:sz w:val="20"/>
                <w:szCs w:val="20"/>
              </w:rPr>
              <w:t xml:space="preserve">(ACPs) </w:t>
            </w:r>
            <w:r>
              <w:rPr>
                <w:sz w:val="20"/>
                <w:szCs w:val="20"/>
              </w:rPr>
              <w:t xml:space="preserve">being utilised to </w:t>
            </w:r>
            <w:r w:rsidR="009570BF">
              <w:rPr>
                <w:sz w:val="20"/>
                <w:szCs w:val="20"/>
              </w:rPr>
              <w:t>support service delivery</w:t>
            </w:r>
            <w:r w:rsidR="00DE13E2">
              <w:rPr>
                <w:sz w:val="20"/>
                <w:szCs w:val="20"/>
              </w:rPr>
              <w:t xml:space="preserve"> and improving access to training.</w:t>
            </w:r>
            <w:r>
              <w:rPr>
                <w:sz w:val="20"/>
                <w:szCs w:val="20"/>
              </w:rPr>
              <w:t xml:space="preserve"> There is still </w:t>
            </w:r>
            <w:r w:rsidR="009570BF">
              <w:rPr>
                <w:sz w:val="20"/>
                <w:szCs w:val="20"/>
              </w:rPr>
              <w:t>uncertainty</w:t>
            </w:r>
            <w:r>
              <w:rPr>
                <w:sz w:val="20"/>
                <w:szCs w:val="20"/>
              </w:rPr>
              <w:t xml:space="preserve"> a</w:t>
            </w:r>
            <w:r w:rsidR="009570BF">
              <w:rPr>
                <w:sz w:val="20"/>
                <w:szCs w:val="20"/>
              </w:rPr>
              <w:t>round</w:t>
            </w:r>
            <w:r>
              <w:rPr>
                <w:sz w:val="20"/>
                <w:szCs w:val="20"/>
              </w:rPr>
              <w:t xml:space="preserve"> the role of Physicians Associates (PAs) and </w:t>
            </w:r>
            <w:r w:rsidR="009570BF">
              <w:rPr>
                <w:sz w:val="20"/>
                <w:szCs w:val="20"/>
              </w:rPr>
              <w:t>their scope of practice</w:t>
            </w:r>
            <w:r w:rsidR="00CA013F">
              <w:rPr>
                <w:sz w:val="20"/>
                <w:szCs w:val="20"/>
              </w:rPr>
              <w:t>.</w:t>
            </w:r>
            <w:r w:rsidR="00D67B33">
              <w:rPr>
                <w:sz w:val="20"/>
                <w:szCs w:val="20"/>
              </w:rPr>
              <w:t xml:space="preserve"> </w:t>
            </w:r>
            <w:r w:rsidR="00180C78">
              <w:rPr>
                <w:sz w:val="20"/>
                <w:szCs w:val="20"/>
              </w:rPr>
              <w:t>ES</w:t>
            </w:r>
            <w:r w:rsidR="00412A8C">
              <w:rPr>
                <w:sz w:val="20"/>
                <w:szCs w:val="20"/>
              </w:rPr>
              <w:t>s also discussed the use of charity funding within multi-disciplinary teams and super sub-specialties to fund training which they felt should be funded by HEE, an example was given w</w:t>
            </w:r>
            <w:r w:rsidR="002B41BF">
              <w:rPr>
                <w:sz w:val="20"/>
                <w:szCs w:val="20"/>
              </w:rPr>
              <w:t xml:space="preserve">ithin Palliative </w:t>
            </w:r>
            <w:r w:rsidR="00FA51FB">
              <w:rPr>
                <w:sz w:val="20"/>
                <w:szCs w:val="20"/>
              </w:rPr>
              <w:t>M</w:t>
            </w:r>
            <w:r w:rsidR="002B41BF">
              <w:rPr>
                <w:sz w:val="20"/>
                <w:szCs w:val="20"/>
              </w:rPr>
              <w:t>edicine where t</w:t>
            </w:r>
            <w:r w:rsidR="00412A8C">
              <w:rPr>
                <w:sz w:val="20"/>
                <w:szCs w:val="20"/>
              </w:rPr>
              <w:t xml:space="preserve">here is no funding for out of hours </w:t>
            </w:r>
            <w:r w:rsidR="00052D21">
              <w:rPr>
                <w:sz w:val="20"/>
                <w:szCs w:val="20"/>
              </w:rPr>
              <w:t>P</w:t>
            </w:r>
            <w:r w:rsidR="00FA51FB">
              <w:rPr>
                <w:sz w:val="20"/>
                <w:szCs w:val="20"/>
              </w:rPr>
              <w:t xml:space="preserve">alliative </w:t>
            </w:r>
            <w:r w:rsidR="009763E6">
              <w:rPr>
                <w:sz w:val="20"/>
                <w:szCs w:val="20"/>
              </w:rPr>
              <w:t>M</w:t>
            </w:r>
            <w:r w:rsidR="00FA51FB">
              <w:rPr>
                <w:sz w:val="20"/>
                <w:szCs w:val="20"/>
              </w:rPr>
              <w:t xml:space="preserve">edicine </w:t>
            </w:r>
            <w:r w:rsidR="00DE13E2">
              <w:rPr>
                <w:sz w:val="20"/>
                <w:szCs w:val="20"/>
              </w:rPr>
              <w:t xml:space="preserve">trainees </w:t>
            </w:r>
            <w:r w:rsidR="00FA51FB">
              <w:rPr>
                <w:sz w:val="20"/>
                <w:szCs w:val="20"/>
              </w:rPr>
              <w:t>in h</w:t>
            </w:r>
            <w:r w:rsidR="00412A8C">
              <w:rPr>
                <w:sz w:val="20"/>
                <w:szCs w:val="20"/>
              </w:rPr>
              <w:t xml:space="preserve">ospices. </w:t>
            </w:r>
          </w:p>
          <w:p w:rsidR="00DB75F3" w:rsidRDefault="00CC418A" w:rsidP="00DB75F3">
            <w:pPr>
              <w:spacing w:after="200" w:line="276" w:lineRule="auto"/>
              <w:rPr>
                <w:sz w:val="20"/>
                <w:szCs w:val="20"/>
              </w:rPr>
            </w:pPr>
            <w:r w:rsidRPr="00DB75F3">
              <w:rPr>
                <w:sz w:val="20"/>
                <w:szCs w:val="20"/>
              </w:rPr>
              <w:t xml:space="preserve">The main theme for improvement was </w:t>
            </w:r>
            <w:r w:rsidR="00C304F6">
              <w:rPr>
                <w:sz w:val="20"/>
                <w:szCs w:val="20"/>
              </w:rPr>
              <w:t>around</w:t>
            </w:r>
            <w:r w:rsidR="001A1E33">
              <w:rPr>
                <w:sz w:val="20"/>
                <w:szCs w:val="20"/>
              </w:rPr>
              <w:t xml:space="preserve"> communication with the school and</w:t>
            </w:r>
            <w:r w:rsidRPr="00DB75F3">
              <w:rPr>
                <w:sz w:val="20"/>
                <w:szCs w:val="20"/>
              </w:rPr>
              <w:t xml:space="preserve"> HEE</w:t>
            </w:r>
            <w:r w:rsidR="00DE13E2">
              <w:rPr>
                <w:sz w:val="20"/>
                <w:szCs w:val="20"/>
              </w:rPr>
              <w:t>.</w:t>
            </w:r>
            <w:r w:rsidR="00C304F6">
              <w:rPr>
                <w:sz w:val="20"/>
                <w:szCs w:val="20"/>
              </w:rPr>
              <w:t xml:space="preserve"> </w:t>
            </w:r>
            <w:r w:rsidR="00DE13E2">
              <w:rPr>
                <w:sz w:val="20"/>
                <w:szCs w:val="20"/>
              </w:rPr>
              <w:t>F</w:t>
            </w:r>
            <w:r w:rsidR="00C304F6">
              <w:rPr>
                <w:sz w:val="20"/>
                <w:szCs w:val="20"/>
              </w:rPr>
              <w:t xml:space="preserve">or </w:t>
            </w:r>
            <w:r w:rsidR="00565E8C">
              <w:rPr>
                <w:sz w:val="20"/>
                <w:szCs w:val="20"/>
              </w:rPr>
              <w:t>example,</w:t>
            </w:r>
            <w:r w:rsidR="00C304F6">
              <w:rPr>
                <w:sz w:val="20"/>
                <w:szCs w:val="20"/>
              </w:rPr>
              <w:t xml:space="preserve"> t</w:t>
            </w:r>
            <w:r w:rsidRPr="00DB75F3">
              <w:rPr>
                <w:sz w:val="20"/>
                <w:szCs w:val="20"/>
              </w:rPr>
              <w:t xml:space="preserve">rainees voiced that they only see senior </w:t>
            </w:r>
            <w:r w:rsidR="00180C78" w:rsidRPr="00DB75F3">
              <w:rPr>
                <w:sz w:val="20"/>
                <w:szCs w:val="20"/>
              </w:rPr>
              <w:t>ESs</w:t>
            </w:r>
            <w:r w:rsidRPr="00DB75F3">
              <w:rPr>
                <w:sz w:val="20"/>
                <w:szCs w:val="20"/>
              </w:rPr>
              <w:t xml:space="preserve"> when there is an adverse situation </w:t>
            </w:r>
            <w:r w:rsidR="00180C78" w:rsidRPr="00DB75F3">
              <w:rPr>
                <w:sz w:val="20"/>
                <w:szCs w:val="20"/>
              </w:rPr>
              <w:t xml:space="preserve">such as </w:t>
            </w:r>
            <w:r w:rsidR="00FA51FB">
              <w:rPr>
                <w:sz w:val="20"/>
                <w:szCs w:val="20"/>
              </w:rPr>
              <w:t>p</w:t>
            </w:r>
            <w:r w:rsidR="00180C78" w:rsidRPr="00DB75F3">
              <w:rPr>
                <w:sz w:val="20"/>
                <w:szCs w:val="20"/>
              </w:rPr>
              <w:t>oor</w:t>
            </w:r>
            <w:r w:rsidR="004205FE">
              <w:rPr>
                <w:sz w:val="20"/>
                <w:szCs w:val="20"/>
              </w:rPr>
              <w:t xml:space="preserve"> Annual Review of Competence Progression</w:t>
            </w:r>
            <w:r w:rsidR="00966FEF" w:rsidRPr="00DB75F3">
              <w:rPr>
                <w:sz w:val="20"/>
                <w:szCs w:val="20"/>
              </w:rPr>
              <w:t xml:space="preserve"> </w:t>
            </w:r>
            <w:r w:rsidR="004205FE">
              <w:rPr>
                <w:sz w:val="20"/>
                <w:szCs w:val="20"/>
              </w:rPr>
              <w:t>(</w:t>
            </w:r>
            <w:r w:rsidR="00966FEF" w:rsidRPr="00DB75F3">
              <w:rPr>
                <w:sz w:val="20"/>
                <w:szCs w:val="20"/>
              </w:rPr>
              <w:t>ARCP</w:t>
            </w:r>
            <w:r w:rsidR="004205FE">
              <w:rPr>
                <w:sz w:val="20"/>
                <w:szCs w:val="20"/>
              </w:rPr>
              <w:t>)</w:t>
            </w:r>
            <w:r w:rsidR="00180C78" w:rsidRPr="00DB75F3">
              <w:rPr>
                <w:sz w:val="20"/>
                <w:szCs w:val="20"/>
              </w:rPr>
              <w:t xml:space="preserve"> outcome</w:t>
            </w:r>
            <w:r w:rsidR="00D85BF6">
              <w:rPr>
                <w:sz w:val="20"/>
                <w:szCs w:val="20"/>
              </w:rPr>
              <w:t xml:space="preserve"> and that there is little appreciation for good work</w:t>
            </w:r>
            <w:r w:rsidR="009570BF">
              <w:rPr>
                <w:sz w:val="20"/>
                <w:szCs w:val="20"/>
              </w:rPr>
              <w:t>.</w:t>
            </w:r>
            <w:r w:rsidR="00966FEF" w:rsidRPr="00DB75F3">
              <w:rPr>
                <w:sz w:val="20"/>
                <w:szCs w:val="20"/>
              </w:rPr>
              <w:t xml:space="preserve"> </w:t>
            </w:r>
            <w:r w:rsidR="00D85BF6">
              <w:rPr>
                <w:sz w:val="20"/>
                <w:szCs w:val="20"/>
              </w:rPr>
              <w:t>Furthermore</w:t>
            </w:r>
            <w:r w:rsidR="00FA51FB">
              <w:rPr>
                <w:sz w:val="20"/>
                <w:szCs w:val="20"/>
              </w:rPr>
              <w:t>,</w:t>
            </w:r>
            <w:r w:rsidR="00C304F6">
              <w:rPr>
                <w:sz w:val="20"/>
                <w:szCs w:val="20"/>
              </w:rPr>
              <w:t xml:space="preserve"> </w:t>
            </w:r>
            <w:r w:rsidR="00FA51FB">
              <w:rPr>
                <w:sz w:val="20"/>
                <w:szCs w:val="20"/>
              </w:rPr>
              <w:t xml:space="preserve">trainees </w:t>
            </w:r>
            <w:r w:rsidR="00D85BF6">
              <w:rPr>
                <w:sz w:val="20"/>
                <w:szCs w:val="20"/>
              </w:rPr>
              <w:t xml:space="preserve">mentioned that they </w:t>
            </w:r>
            <w:r w:rsidR="00FA51FB">
              <w:rPr>
                <w:sz w:val="20"/>
                <w:szCs w:val="20"/>
              </w:rPr>
              <w:t>expect to receive</w:t>
            </w:r>
            <w:r w:rsidR="00FA51FB" w:rsidRPr="00DB75F3">
              <w:rPr>
                <w:sz w:val="20"/>
                <w:szCs w:val="20"/>
              </w:rPr>
              <w:t xml:space="preserve"> an outcome five </w:t>
            </w:r>
            <w:r w:rsidR="00FA51FB">
              <w:rPr>
                <w:sz w:val="20"/>
                <w:szCs w:val="20"/>
              </w:rPr>
              <w:t xml:space="preserve">for their ARCP, </w:t>
            </w:r>
            <w:r w:rsidR="00D85BF6">
              <w:rPr>
                <w:sz w:val="20"/>
                <w:szCs w:val="20"/>
              </w:rPr>
              <w:t xml:space="preserve">regardless of what they do. The reason for this is due to timing issues affecting outcomes e.g. </w:t>
            </w:r>
            <w:r w:rsidR="00DB75F3" w:rsidRPr="00DB75F3">
              <w:rPr>
                <w:sz w:val="20"/>
                <w:szCs w:val="20"/>
              </w:rPr>
              <w:t>the</w:t>
            </w:r>
            <w:r w:rsidR="00180C78" w:rsidRPr="00DB75F3">
              <w:rPr>
                <w:sz w:val="20"/>
                <w:szCs w:val="20"/>
              </w:rPr>
              <w:t xml:space="preserve"> </w:t>
            </w:r>
            <w:r w:rsidR="0029651D">
              <w:rPr>
                <w:sz w:val="20"/>
                <w:szCs w:val="20"/>
              </w:rPr>
              <w:t>C</w:t>
            </w:r>
            <w:r w:rsidR="00DB75F3" w:rsidRPr="00DB75F3">
              <w:rPr>
                <w:sz w:val="20"/>
                <w:szCs w:val="20"/>
              </w:rPr>
              <w:t xml:space="preserve">ESAC </w:t>
            </w:r>
            <w:r w:rsidR="00D85BF6">
              <w:rPr>
                <w:sz w:val="20"/>
                <w:szCs w:val="20"/>
              </w:rPr>
              <w:t xml:space="preserve">review is not aligned with the </w:t>
            </w:r>
            <w:r w:rsidR="00DB75F3" w:rsidRPr="00DB75F3">
              <w:rPr>
                <w:sz w:val="20"/>
                <w:szCs w:val="20"/>
              </w:rPr>
              <w:t>national ARCP reviews.</w:t>
            </w:r>
            <w:r w:rsidR="00180C78" w:rsidRPr="00DB75F3">
              <w:rPr>
                <w:sz w:val="20"/>
                <w:szCs w:val="20"/>
              </w:rPr>
              <w:t xml:space="preserve"> </w:t>
            </w:r>
            <w:r w:rsidR="00416A88" w:rsidRPr="00DB75F3">
              <w:rPr>
                <w:sz w:val="20"/>
                <w:szCs w:val="20"/>
              </w:rPr>
              <w:t xml:space="preserve">Trainees suggested that a letter or email informing the trainee </w:t>
            </w:r>
            <w:r w:rsidR="009570BF">
              <w:rPr>
                <w:sz w:val="20"/>
                <w:szCs w:val="20"/>
              </w:rPr>
              <w:t>about the</w:t>
            </w:r>
            <w:r w:rsidR="009763E6">
              <w:rPr>
                <w:sz w:val="20"/>
                <w:szCs w:val="20"/>
              </w:rPr>
              <w:t>i</w:t>
            </w:r>
            <w:r w:rsidR="009570BF">
              <w:rPr>
                <w:sz w:val="20"/>
                <w:szCs w:val="20"/>
              </w:rPr>
              <w:t>r</w:t>
            </w:r>
            <w:r w:rsidR="00416A88" w:rsidRPr="00DB75F3">
              <w:rPr>
                <w:sz w:val="20"/>
                <w:szCs w:val="20"/>
              </w:rPr>
              <w:t xml:space="preserve"> progressi</w:t>
            </w:r>
            <w:r w:rsidR="009570BF">
              <w:rPr>
                <w:sz w:val="20"/>
                <w:szCs w:val="20"/>
              </w:rPr>
              <w:t>on</w:t>
            </w:r>
            <w:r w:rsidR="00D85BF6">
              <w:rPr>
                <w:sz w:val="20"/>
                <w:szCs w:val="20"/>
              </w:rPr>
              <w:t xml:space="preserve"> </w:t>
            </w:r>
            <w:r w:rsidR="00416A88" w:rsidRPr="00DB75F3">
              <w:rPr>
                <w:sz w:val="20"/>
                <w:szCs w:val="20"/>
              </w:rPr>
              <w:t xml:space="preserve">and </w:t>
            </w:r>
            <w:r w:rsidR="009570BF">
              <w:rPr>
                <w:sz w:val="20"/>
                <w:szCs w:val="20"/>
              </w:rPr>
              <w:t xml:space="preserve">improving how they are </w:t>
            </w:r>
            <w:r w:rsidR="00416A88" w:rsidRPr="00DB75F3">
              <w:rPr>
                <w:sz w:val="20"/>
                <w:szCs w:val="20"/>
              </w:rPr>
              <w:t>inform</w:t>
            </w:r>
            <w:r w:rsidR="009570BF">
              <w:rPr>
                <w:sz w:val="20"/>
                <w:szCs w:val="20"/>
              </w:rPr>
              <w:t>ed about</w:t>
            </w:r>
            <w:r w:rsidR="00416A88" w:rsidRPr="00DB75F3">
              <w:rPr>
                <w:sz w:val="20"/>
                <w:szCs w:val="20"/>
              </w:rPr>
              <w:t xml:space="preserve"> ARCP outcome</w:t>
            </w:r>
            <w:r w:rsidR="00D85BF6">
              <w:rPr>
                <w:sz w:val="20"/>
                <w:szCs w:val="20"/>
              </w:rPr>
              <w:t>s</w:t>
            </w:r>
            <w:r w:rsidR="00416A88" w:rsidRPr="00DB75F3">
              <w:rPr>
                <w:sz w:val="20"/>
                <w:szCs w:val="20"/>
              </w:rPr>
              <w:t xml:space="preserve"> would be </w:t>
            </w:r>
            <w:r w:rsidR="005E1315">
              <w:rPr>
                <w:sz w:val="20"/>
                <w:szCs w:val="20"/>
              </w:rPr>
              <w:t>beneficial</w:t>
            </w:r>
            <w:r w:rsidR="00052D21">
              <w:rPr>
                <w:sz w:val="20"/>
                <w:szCs w:val="20"/>
              </w:rPr>
              <w:t>.</w:t>
            </w:r>
            <w:r w:rsidR="005E1315">
              <w:rPr>
                <w:sz w:val="20"/>
                <w:szCs w:val="20"/>
              </w:rPr>
              <w:t xml:space="preserve"> </w:t>
            </w:r>
            <w:r w:rsidR="00A763DD">
              <w:rPr>
                <w:sz w:val="20"/>
                <w:szCs w:val="20"/>
              </w:rPr>
              <w:t>(</w:t>
            </w:r>
            <w:r w:rsidR="00A763DD">
              <w:rPr>
                <w:rFonts w:cs="Arial"/>
                <w:i/>
                <w:sz w:val="20"/>
                <w:szCs w:val="20"/>
                <w:lang w:eastAsia="en-GB"/>
              </w:rPr>
              <w:t>2018112</w:t>
            </w:r>
            <w:r w:rsidR="00D64AD9">
              <w:rPr>
                <w:rFonts w:cs="Arial"/>
                <w:i/>
                <w:sz w:val="20"/>
                <w:szCs w:val="20"/>
                <w:lang w:eastAsia="en-GB"/>
              </w:rPr>
              <w:t>0</w:t>
            </w:r>
            <w:r w:rsidR="00A763DD" w:rsidRPr="004F48CA">
              <w:rPr>
                <w:rFonts w:cs="Arial"/>
                <w:i/>
                <w:sz w:val="20"/>
                <w:szCs w:val="20"/>
                <w:lang w:eastAsia="en-GB"/>
              </w:rPr>
              <w:t>_HEEYH_RQ1</w:t>
            </w:r>
            <w:r w:rsidR="00A763DD">
              <w:rPr>
                <w:sz w:val="20"/>
                <w:szCs w:val="20"/>
              </w:rPr>
              <w:t>).</w:t>
            </w:r>
          </w:p>
          <w:p w:rsidR="00460A60" w:rsidRDefault="00565E8C" w:rsidP="00DB75F3">
            <w:pPr>
              <w:spacing w:after="200" w:line="276" w:lineRule="auto"/>
              <w:rPr>
                <w:sz w:val="20"/>
                <w:szCs w:val="20"/>
              </w:rPr>
            </w:pPr>
            <w:r>
              <w:rPr>
                <w:b/>
                <w:sz w:val="20"/>
                <w:szCs w:val="20"/>
              </w:rPr>
              <w:t>Trainee Experiencing</w:t>
            </w:r>
            <w:r w:rsidR="00DB75F3" w:rsidRPr="00DB75F3">
              <w:rPr>
                <w:b/>
                <w:sz w:val="20"/>
                <w:szCs w:val="20"/>
              </w:rPr>
              <w:t xml:space="preserve"> Difficulty</w:t>
            </w:r>
            <w:r w:rsidR="00DB75F3">
              <w:rPr>
                <w:sz w:val="20"/>
                <w:szCs w:val="20"/>
              </w:rPr>
              <w:t xml:space="preserve"> </w:t>
            </w:r>
            <w:r>
              <w:rPr>
                <w:sz w:val="20"/>
                <w:szCs w:val="20"/>
              </w:rPr>
              <w:t>(TE</w:t>
            </w:r>
            <w:r w:rsidR="00942825">
              <w:rPr>
                <w:sz w:val="20"/>
                <w:szCs w:val="20"/>
              </w:rPr>
              <w:t>D)</w:t>
            </w:r>
            <w:r w:rsidR="009570BF">
              <w:rPr>
                <w:sz w:val="20"/>
                <w:szCs w:val="20"/>
              </w:rPr>
              <w:t xml:space="preserve"> </w:t>
            </w:r>
            <w:r w:rsidR="00DB75F3">
              <w:rPr>
                <w:sz w:val="20"/>
                <w:szCs w:val="20"/>
              </w:rPr>
              <w:t xml:space="preserve">- </w:t>
            </w:r>
            <w:r w:rsidR="00D67B33" w:rsidRPr="00172F54">
              <w:rPr>
                <w:sz w:val="20"/>
                <w:szCs w:val="20"/>
              </w:rPr>
              <w:t>Educational Supervis</w:t>
            </w:r>
            <w:r w:rsidR="00D67B33">
              <w:rPr>
                <w:sz w:val="20"/>
                <w:szCs w:val="20"/>
              </w:rPr>
              <w:t>ors raised concerns around</w:t>
            </w:r>
            <w:r w:rsidR="009B75A7">
              <w:rPr>
                <w:sz w:val="20"/>
                <w:szCs w:val="20"/>
              </w:rPr>
              <w:t xml:space="preserve"> a reluctance by some ESs to officially record or evidence a</w:t>
            </w:r>
            <w:r>
              <w:rPr>
                <w:sz w:val="20"/>
                <w:szCs w:val="20"/>
              </w:rPr>
              <w:t xml:space="preserve"> TED</w:t>
            </w:r>
            <w:r w:rsidR="00D67B33">
              <w:rPr>
                <w:sz w:val="20"/>
                <w:szCs w:val="20"/>
              </w:rPr>
              <w:t xml:space="preserve"> (</w:t>
            </w:r>
            <w:r w:rsidR="00D67B33" w:rsidRPr="00172F54">
              <w:rPr>
                <w:sz w:val="20"/>
                <w:szCs w:val="20"/>
              </w:rPr>
              <w:t>it was noted that these are not usually within GRID</w:t>
            </w:r>
            <w:r w:rsidR="00D67B33">
              <w:rPr>
                <w:sz w:val="20"/>
                <w:szCs w:val="20"/>
              </w:rPr>
              <w:t>)</w:t>
            </w:r>
            <w:r w:rsidR="009E0018">
              <w:rPr>
                <w:sz w:val="20"/>
                <w:szCs w:val="20"/>
              </w:rPr>
              <w:t xml:space="preserve">. </w:t>
            </w:r>
            <w:r w:rsidR="00D67B33">
              <w:rPr>
                <w:sz w:val="20"/>
                <w:szCs w:val="20"/>
              </w:rPr>
              <w:t>ES</w:t>
            </w:r>
            <w:r w:rsidR="009B75A7">
              <w:rPr>
                <w:sz w:val="20"/>
                <w:szCs w:val="20"/>
              </w:rPr>
              <w:t xml:space="preserve">s </w:t>
            </w:r>
            <w:r w:rsidR="009570BF">
              <w:rPr>
                <w:sz w:val="20"/>
                <w:szCs w:val="20"/>
              </w:rPr>
              <w:t xml:space="preserve">reported </w:t>
            </w:r>
            <w:r w:rsidR="00D67B33">
              <w:rPr>
                <w:sz w:val="20"/>
                <w:szCs w:val="20"/>
              </w:rPr>
              <w:t xml:space="preserve">that written evidence </w:t>
            </w:r>
            <w:r w:rsidR="009E0018">
              <w:rPr>
                <w:sz w:val="20"/>
                <w:szCs w:val="20"/>
              </w:rPr>
              <w:t>could</w:t>
            </w:r>
            <w:r w:rsidR="00B6109C">
              <w:rPr>
                <w:sz w:val="20"/>
                <w:szCs w:val="20"/>
              </w:rPr>
              <w:t xml:space="preserve"> be recorded in the e-portfolio</w:t>
            </w:r>
            <w:r w:rsidR="009E0018">
              <w:rPr>
                <w:sz w:val="20"/>
                <w:szCs w:val="20"/>
              </w:rPr>
              <w:t xml:space="preserve"> </w:t>
            </w:r>
            <w:r w:rsidR="00D67B33">
              <w:rPr>
                <w:sz w:val="20"/>
                <w:szCs w:val="20"/>
              </w:rPr>
              <w:t>so this c</w:t>
            </w:r>
            <w:r w:rsidR="009570BF">
              <w:rPr>
                <w:sz w:val="20"/>
                <w:szCs w:val="20"/>
              </w:rPr>
              <w:t>ould</w:t>
            </w:r>
            <w:r w:rsidR="00D67B33">
              <w:rPr>
                <w:sz w:val="20"/>
                <w:szCs w:val="20"/>
              </w:rPr>
              <w:t xml:space="preserve"> be passed onto the next rotation. </w:t>
            </w:r>
            <w:r w:rsidR="00D64AD9">
              <w:rPr>
                <w:sz w:val="20"/>
                <w:szCs w:val="20"/>
              </w:rPr>
              <w:t xml:space="preserve">ESs </w:t>
            </w:r>
            <w:r w:rsidR="00BF12B2">
              <w:rPr>
                <w:sz w:val="20"/>
                <w:szCs w:val="20"/>
              </w:rPr>
              <w:t xml:space="preserve">also </w:t>
            </w:r>
            <w:r w:rsidR="00D64AD9">
              <w:rPr>
                <w:sz w:val="20"/>
                <w:szCs w:val="20"/>
              </w:rPr>
              <w:t xml:space="preserve">suggested that </w:t>
            </w:r>
            <w:r w:rsidR="00BF12B2">
              <w:rPr>
                <w:sz w:val="20"/>
                <w:szCs w:val="20"/>
              </w:rPr>
              <w:t xml:space="preserve">a </w:t>
            </w:r>
            <w:r>
              <w:rPr>
                <w:sz w:val="20"/>
                <w:szCs w:val="20"/>
              </w:rPr>
              <w:t>TE</w:t>
            </w:r>
            <w:r w:rsidR="00D64AD9">
              <w:rPr>
                <w:sz w:val="20"/>
                <w:szCs w:val="20"/>
              </w:rPr>
              <w:t xml:space="preserve">D should be flagged earlier </w:t>
            </w:r>
            <w:r w:rsidR="00BF12B2">
              <w:rPr>
                <w:sz w:val="20"/>
                <w:szCs w:val="20"/>
              </w:rPr>
              <w:t xml:space="preserve">in the process </w:t>
            </w:r>
            <w:r w:rsidR="00D64AD9">
              <w:rPr>
                <w:sz w:val="20"/>
                <w:szCs w:val="20"/>
              </w:rPr>
              <w:t xml:space="preserve">to ensure a trainee does not </w:t>
            </w:r>
            <w:r w:rsidR="00D64AD9">
              <w:rPr>
                <w:sz w:val="20"/>
                <w:szCs w:val="20"/>
              </w:rPr>
              <w:lastRenderedPageBreak/>
              <w:t xml:space="preserve">go through their </w:t>
            </w:r>
            <w:r w:rsidR="00BF12B2">
              <w:rPr>
                <w:sz w:val="20"/>
                <w:szCs w:val="20"/>
              </w:rPr>
              <w:t xml:space="preserve">eight years of </w:t>
            </w:r>
            <w:r w:rsidR="00D64AD9">
              <w:rPr>
                <w:sz w:val="20"/>
                <w:szCs w:val="20"/>
              </w:rPr>
              <w:t xml:space="preserve">training </w:t>
            </w:r>
            <w:r w:rsidR="00BF12B2">
              <w:rPr>
                <w:sz w:val="20"/>
                <w:szCs w:val="20"/>
              </w:rPr>
              <w:t xml:space="preserve">unaware that they have areas to improve upon and putting the ES in a difficult position whereby they </w:t>
            </w:r>
            <w:r w:rsidR="009570BF">
              <w:rPr>
                <w:sz w:val="20"/>
                <w:szCs w:val="20"/>
              </w:rPr>
              <w:t>must</w:t>
            </w:r>
            <w:r w:rsidR="00BF12B2">
              <w:rPr>
                <w:sz w:val="20"/>
                <w:szCs w:val="20"/>
              </w:rPr>
              <w:t xml:space="preserve"> inform the trainee of these concerns and have no formal evidence. </w:t>
            </w:r>
            <w:r w:rsidR="00D67B33">
              <w:rPr>
                <w:sz w:val="20"/>
                <w:szCs w:val="20"/>
              </w:rPr>
              <w:t>More work</w:t>
            </w:r>
            <w:r w:rsidR="00180C78">
              <w:rPr>
                <w:sz w:val="20"/>
                <w:szCs w:val="20"/>
              </w:rPr>
              <w:t xml:space="preserve"> needs to be done to empower ES</w:t>
            </w:r>
            <w:r w:rsidR="00D67B33">
              <w:rPr>
                <w:sz w:val="20"/>
                <w:szCs w:val="20"/>
              </w:rPr>
              <w:t xml:space="preserve">s to report a </w:t>
            </w:r>
            <w:r>
              <w:rPr>
                <w:sz w:val="20"/>
                <w:szCs w:val="20"/>
              </w:rPr>
              <w:t>TED</w:t>
            </w:r>
            <w:r w:rsidR="00BF12B2">
              <w:rPr>
                <w:sz w:val="20"/>
                <w:szCs w:val="20"/>
              </w:rPr>
              <w:t xml:space="preserve"> as soon as they are aware of a concern,</w:t>
            </w:r>
            <w:r w:rsidR="00D67B33">
              <w:rPr>
                <w:sz w:val="20"/>
                <w:szCs w:val="20"/>
              </w:rPr>
              <w:t xml:space="preserve"> so a robust programme is put in place to support the trainee</w:t>
            </w:r>
            <w:r w:rsidR="009E0018">
              <w:rPr>
                <w:sz w:val="20"/>
                <w:szCs w:val="20"/>
              </w:rPr>
              <w:t xml:space="preserve"> (</w:t>
            </w:r>
            <w:r w:rsidR="00703003">
              <w:rPr>
                <w:rFonts w:cs="Arial"/>
                <w:i/>
                <w:sz w:val="20"/>
                <w:szCs w:val="20"/>
                <w:lang w:eastAsia="en-GB"/>
              </w:rPr>
              <w:t>2018112</w:t>
            </w:r>
            <w:r w:rsidR="00D64AD9">
              <w:rPr>
                <w:rFonts w:cs="Arial"/>
                <w:i/>
                <w:sz w:val="20"/>
                <w:szCs w:val="20"/>
                <w:lang w:eastAsia="en-GB"/>
              </w:rPr>
              <w:t>0</w:t>
            </w:r>
            <w:r w:rsidR="00703003" w:rsidRPr="004F48CA">
              <w:rPr>
                <w:rFonts w:cs="Arial"/>
                <w:i/>
                <w:sz w:val="20"/>
                <w:szCs w:val="20"/>
                <w:lang w:eastAsia="en-GB"/>
              </w:rPr>
              <w:t>_HEEYH_RQ</w:t>
            </w:r>
            <w:r w:rsidR="009D55DE">
              <w:rPr>
                <w:rFonts w:cs="Arial"/>
                <w:i/>
                <w:sz w:val="20"/>
                <w:szCs w:val="20"/>
                <w:lang w:eastAsia="en-GB"/>
              </w:rPr>
              <w:t>2</w:t>
            </w:r>
            <w:r w:rsidR="009E0018">
              <w:rPr>
                <w:sz w:val="20"/>
                <w:szCs w:val="20"/>
              </w:rPr>
              <w:t>)</w:t>
            </w:r>
            <w:r w:rsidR="00B6109C">
              <w:rPr>
                <w:sz w:val="20"/>
                <w:szCs w:val="20"/>
              </w:rPr>
              <w:t>.</w:t>
            </w:r>
          </w:p>
          <w:p w:rsidR="00781430" w:rsidRPr="00304822" w:rsidRDefault="00674468" w:rsidP="00304822">
            <w:pPr>
              <w:spacing w:line="240" w:lineRule="exact"/>
              <w:rPr>
                <w:rFonts w:cs="Arial"/>
                <w:sz w:val="20"/>
              </w:rPr>
            </w:pPr>
            <w:r w:rsidRPr="00304822">
              <w:rPr>
                <w:rFonts w:cs="Arial"/>
                <w:b/>
                <w:sz w:val="20"/>
              </w:rPr>
              <w:t>Induction</w:t>
            </w:r>
            <w:r w:rsidRPr="00304822">
              <w:rPr>
                <w:rFonts w:cs="Arial"/>
                <w:sz w:val="20"/>
              </w:rPr>
              <w:t xml:space="preserve"> </w:t>
            </w:r>
            <w:r w:rsidR="006007D5" w:rsidRPr="00304822">
              <w:rPr>
                <w:rFonts w:cs="Arial"/>
                <w:sz w:val="20"/>
              </w:rPr>
              <w:t xml:space="preserve">– </w:t>
            </w:r>
            <w:r w:rsidR="00781430" w:rsidRPr="00304822">
              <w:rPr>
                <w:rFonts w:cs="Arial"/>
                <w:sz w:val="20"/>
              </w:rPr>
              <w:t xml:space="preserve">Access to a timely school induction and access to school information was raised as a concern by trainees, specifically for those </w:t>
            </w:r>
            <w:r w:rsidR="009570BF" w:rsidRPr="00304822">
              <w:rPr>
                <w:rFonts w:cs="Arial"/>
                <w:sz w:val="20"/>
              </w:rPr>
              <w:t xml:space="preserve">joining the programme </w:t>
            </w:r>
            <w:r w:rsidR="00781430" w:rsidRPr="00304822">
              <w:rPr>
                <w:rFonts w:cs="Arial"/>
                <w:sz w:val="20"/>
              </w:rPr>
              <w:t>from outside Y&amp;H as well as those returning to work. Some trainees reported that they did</w:t>
            </w:r>
            <w:r w:rsidR="009A6D14" w:rsidRPr="00304822">
              <w:rPr>
                <w:rFonts w:cs="Arial"/>
                <w:sz w:val="20"/>
              </w:rPr>
              <w:t xml:space="preserve"> no</w:t>
            </w:r>
            <w:r w:rsidR="00781430" w:rsidRPr="00304822">
              <w:rPr>
                <w:rFonts w:cs="Arial"/>
                <w:sz w:val="20"/>
              </w:rPr>
              <w:t xml:space="preserve">t know who the Dean or Head of School were nor anything about the </w:t>
            </w:r>
            <w:r w:rsidR="00052D21" w:rsidRPr="00304822">
              <w:rPr>
                <w:rFonts w:cs="Arial"/>
                <w:sz w:val="20"/>
              </w:rPr>
              <w:t>S</w:t>
            </w:r>
            <w:r w:rsidR="00781430" w:rsidRPr="00304822">
              <w:rPr>
                <w:rFonts w:cs="Arial"/>
                <w:sz w:val="20"/>
              </w:rPr>
              <w:t>chool</w:t>
            </w:r>
            <w:r w:rsidR="00052D21" w:rsidRPr="00304822">
              <w:rPr>
                <w:rFonts w:cs="Arial"/>
                <w:sz w:val="20"/>
              </w:rPr>
              <w:t xml:space="preserve"> of Paediatrics</w:t>
            </w:r>
            <w:r w:rsidR="00781430" w:rsidRPr="00304822">
              <w:rPr>
                <w:rFonts w:cs="Arial"/>
                <w:sz w:val="20"/>
              </w:rPr>
              <w:t xml:space="preserve"> in Y&amp;H.</w:t>
            </w:r>
          </w:p>
          <w:p w:rsidR="00E529B3" w:rsidRPr="00304822" w:rsidRDefault="00781430" w:rsidP="00304822">
            <w:pPr>
              <w:spacing w:line="240" w:lineRule="exact"/>
              <w:rPr>
                <w:rFonts w:cs="Arial"/>
                <w:sz w:val="20"/>
              </w:rPr>
            </w:pPr>
            <w:r w:rsidRPr="00304822">
              <w:rPr>
                <w:rFonts w:cs="Arial"/>
                <w:sz w:val="20"/>
              </w:rPr>
              <w:t xml:space="preserve">Additionally, trainers and trainees felt that better signposting to the </w:t>
            </w:r>
            <w:r w:rsidR="00052D21" w:rsidRPr="00304822">
              <w:rPr>
                <w:rFonts w:cs="Arial"/>
                <w:sz w:val="20"/>
              </w:rPr>
              <w:t>S</w:t>
            </w:r>
            <w:r w:rsidRPr="00304822">
              <w:rPr>
                <w:rFonts w:cs="Arial"/>
                <w:sz w:val="20"/>
              </w:rPr>
              <w:t xml:space="preserve">chool website would </w:t>
            </w:r>
            <w:r w:rsidR="00052D21" w:rsidRPr="00304822">
              <w:rPr>
                <w:rFonts w:cs="Arial"/>
                <w:sz w:val="20"/>
              </w:rPr>
              <w:t>help to support the</w:t>
            </w:r>
            <w:r w:rsidRPr="00304822">
              <w:rPr>
                <w:rFonts w:cs="Arial"/>
                <w:sz w:val="20"/>
              </w:rPr>
              <w:t xml:space="preserve"> trainees when they begin placement. </w:t>
            </w:r>
            <w:r w:rsidR="006007D5" w:rsidRPr="00304822">
              <w:rPr>
                <w:rFonts w:cs="Arial"/>
                <w:sz w:val="20"/>
              </w:rPr>
              <w:t>(</w:t>
            </w:r>
            <w:r w:rsidR="006007D5" w:rsidRPr="00304822">
              <w:rPr>
                <w:rFonts w:cs="Arial"/>
                <w:i/>
                <w:sz w:val="20"/>
                <w:lang w:eastAsia="en-GB"/>
              </w:rPr>
              <w:t>2018112</w:t>
            </w:r>
            <w:r w:rsidR="00D64AD9" w:rsidRPr="00304822">
              <w:rPr>
                <w:rFonts w:cs="Arial"/>
                <w:i/>
                <w:sz w:val="20"/>
                <w:lang w:eastAsia="en-GB"/>
              </w:rPr>
              <w:t>0</w:t>
            </w:r>
            <w:r w:rsidR="006007D5" w:rsidRPr="00304822">
              <w:rPr>
                <w:rFonts w:cs="Arial"/>
                <w:i/>
                <w:sz w:val="20"/>
                <w:lang w:eastAsia="en-GB"/>
              </w:rPr>
              <w:t>_HEEYH_RQ</w:t>
            </w:r>
            <w:r w:rsidR="009D55DE" w:rsidRPr="00304822">
              <w:rPr>
                <w:rFonts w:cs="Arial"/>
                <w:i/>
                <w:sz w:val="20"/>
                <w:lang w:eastAsia="en-GB"/>
              </w:rPr>
              <w:t>3</w:t>
            </w:r>
            <w:r w:rsidR="006007D5" w:rsidRPr="00304822">
              <w:rPr>
                <w:rFonts w:cs="Arial"/>
                <w:sz w:val="20"/>
              </w:rPr>
              <w:t xml:space="preserve">). </w:t>
            </w:r>
          </w:p>
          <w:p w:rsidR="00304822" w:rsidRPr="00304822" w:rsidRDefault="00304822" w:rsidP="00304822">
            <w:pPr>
              <w:rPr>
                <w:sz w:val="20"/>
              </w:rPr>
            </w:pPr>
          </w:p>
          <w:p w:rsidR="001F5BF8" w:rsidRDefault="00D67B33" w:rsidP="004F48CA">
            <w:pPr>
              <w:spacing w:after="200" w:line="276" w:lineRule="auto"/>
              <w:rPr>
                <w:sz w:val="20"/>
                <w:szCs w:val="20"/>
              </w:rPr>
            </w:pPr>
            <w:r w:rsidRPr="00D67B33">
              <w:rPr>
                <w:b/>
                <w:sz w:val="20"/>
                <w:szCs w:val="20"/>
              </w:rPr>
              <w:t>Resilience Training</w:t>
            </w:r>
            <w:r w:rsidR="00DF0906">
              <w:rPr>
                <w:b/>
                <w:sz w:val="20"/>
                <w:szCs w:val="20"/>
              </w:rPr>
              <w:t xml:space="preserve"> -</w:t>
            </w:r>
            <w:r>
              <w:rPr>
                <w:sz w:val="20"/>
                <w:szCs w:val="20"/>
              </w:rPr>
              <w:t xml:space="preserve"> </w:t>
            </w:r>
            <w:r w:rsidR="0079087D">
              <w:rPr>
                <w:sz w:val="20"/>
                <w:szCs w:val="20"/>
              </w:rPr>
              <w:t xml:space="preserve">Educational Supervisors </w:t>
            </w:r>
            <w:r w:rsidR="002550C1">
              <w:rPr>
                <w:sz w:val="20"/>
                <w:szCs w:val="20"/>
              </w:rPr>
              <w:t>reported seeing a growing number of trainees where life events rather than the job itself</w:t>
            </w:r>
            <w:r w:rsidR="00674445">
              <w:rPr>
                <w:sz w:val="20"/>
                <w:szCs w:val="20"/>
              </w:rPr>
              <w:t xml:space="preserve"> is</w:t>
            </w:r>
            <w:r w:rsidR="002550C1">
              <w:rPr>
                <w:sz w:val="20"/>
                <w:szCs w:val="20"/>
              </w:rPr>
              <w:t xml:space="preserve"> </w:t>
            </w:r>
            <w:r w:rsidR="00674445">
              <w:rPr>
                <w:sz w:val="20"/>
                <w:szCs w:val="20"/>
              </w:rPr>
              <w:t>impacting</w:t>
            </w:r>
            <w:r w:rsidR="0079087D">
              <w:rPr>
                <w:sz w:val="20"/>
                <w:szCs w:val="20"/>
              </w:rPr>
              <w:t xml:space="preserve"> </w:t>
            </w:r>
            <w:r w:rsidR="00052D21">
              <w:rPr>
                <w:sz w:val="20"/>
                <w:szCs w:val="20"/>
              </w:rPr>
              <w:t xml:space="preserve">on their </w:t>
            </w:r>
            <w:r w:rsidR="0079087D">
              <w:rPr>
                <w:sz w:val="20"/>
                <w:szCs w:val="20"/>
              </w:rPr>
              <w:t xml:space="preserve">wellbeing, and that they would benefit from resilience and mental health training to help support </w:t>
            </w:r>
            <w:r w:rsidR="00052D21">
              <w:rPr>
                <w:sz w:val="20"/>
                <w:szCs w:val="20"/>
              </w:rPr>
              <w:t>them</w:t>
            </w:r>
            <w:r w:rsidR="0079087D">
              <w:rPr>
                <w:sz w:val="20"/>
                <w:szCs w:val="20"/>
              </w:rPr>
              <w:t xml:space="preserve">. </w:t>
            </w:r>
            <w:r w:rsidR="003B2517" w:rsidRPr="003B2517">
              <w:rPr>
                <w:sz w:val="20"/>
                <w:szCs w:val="22"/>
              </w:rPr>
              <w:t xml:space="preserve">ESs and trainees </w:t>
            </w:r>
            <w:r w:rsidR="003B2517" w:rsidRPr="003B2517">
              <w:rPr>
                <w:rFonts w:eastAsia="Times New Roman" w:cs="Arial"/>
                <w:color w:val="000000"/>
                <w:sz w:val="20"/>
                <w:szCs w:val="22"/>
                <w:lang w:eastAsia="en-GB"/>
              </w:rPr>
              <w:t>were advised that they can contact the coaching team for external support via HEE</w:t>
            </w:r>
            <w:r w:rsidR="00DE13E2">
              <w:rPr>
                <w:rFonts w:eastAsia="Times New Roman" w:cs="Arial"/>
                <w:color w:val="000000"/>
                <w:sz w:val="20"/>
                <w:szCs w:val="22"/>
                <w:lang w:eastAsia="en-GB"/>
              </w:rPr>
              <w:t xml:space="preserve"> and reminded abou</w:t>
            </w:r>
            <w:r w:rsidR="00304822">
              <w:rPr>
                <w:rFonts w:eastAsia="Times New Roman" w:cs="Arial"/>
                <w:color w:val="000000"/>
                <w:sz w:val="20"/>
                <w:szCs w:val="22"/>
                <w:lang w:eastAsia="en-GB"/>
              </w:rPr>
              <w:t>t the existence of Take Time and</w:t>
            </w:r>
            <w:r w:rsidR="00565E8C">
              <w:rPr>
                <w:rFonts w:eastAsia="Times New Roman" w:cs="Arial"/>
                <w:color w:val="000000"/>
                <w:sz w:val="20"/>
                <w:szCs w:val="22"/>
                <w:lang w:eastAsia="en-GB"/>
              </w:rPr>
              <w:t xml:space="preserve"> Wo</w:t>
            </w:r>
            <w:r w:rsidR="00DE13E2">
              <w:rPr>
                <w:rFonts w:eastAsia="Times New Roman" w:cs="Arial"/>
                <w:color w:val="000000"/>
                <w:sz w:val="20"/>
                <w:szCs w:val="22"/>
                <w:lang w:eastAsia="en-GB"/>
              </w:rPr>
              <w:t>rkplace Wellbeing</w:t>
            </w:r>
            <w:r w:rsidR="00052D21">
              <w:rPr>
                <w:rFonts w:eastAsia="Times New Roman" w:cs="Arial"/>
                <w:color w:val="000000"/>
                <w:sz w:val="20"/>
                <w:szCs w:val="22"/>
                <w:lang w:eastAsia="en-GB"/>
              </w:rPr>
              <w:t>.</w:t>
            </w:r>
          </w:p>
          <w:p w:rsidR="001D1736" w:rsidRDefault="001D1736" w:rsidP="001D1736">
            <w:pPr>
              <w:spacing w:after="200" w:line="276" w:lineRule="auto"/>
              <w:rPr>
                <w:noProof/>
                <w:sz w:val="20"/>
                <w:szCs w:val="20"/>
              </w:rPr>
            </w:pPr>
            <w:r>
              <w:rPr>
                <w:b/>
                <w:sz w:val="20"/>
                <w:szCs w:val="20"/>
              </w:rPr>
              <w:t>On site out of hours</w:t>
            </w:r>
            <w:r w:rsidRPr="00965449">
              <w:rPr>
                <w:b/>
                <w:sz w:val="20"/>
                <w:szCs w:val="20"/>
              </w:rPr>
              <w:t xml:space="preserve"> accommodation</w:t>
            </w:r>
            <w:r>
              <w:rPr>
                <w:b/>
                <w:sz w:val="20"/>
                <w:szCs w:val="20"/>
              </w:rPr>
              <w:t xml:space="preserve"> </w:t>
            </w:r>
            <w:r w:rsidRPr="00C46EC0">
              <w:rPr>
                <w:sz w:val="20"/>
                <w:szCs w:val="20"/>
              </w:rPr>
              <w:t>– Trainees discussed out of hours a</w:t>
            </w:r>
            <w:r w:rsidRPr="00C46EC0">
              <w:rPr>
                <w:noProof/>
                <w:sz w:val="20"/>
                <w:szCs w:val="20"/>
              </w:rPr>
              <w:t xml:space="preserve">ccommodation </w:t>
            </w:r>
            <w:r>
              <w:rPr>
                <w:noProof/>
                <w:sz w:val="20"/>
                <w:szCs w:val="20"/>
              </w:rPr>
              <w:t xml:space="preserve">specifically </w:t>
            </w:r>
            <w:r w:rsidRPr="00965449">
              <w:rPr>
                <w:noProof/>
                <w:sz w:val="20"/>
                <w:szCs w:val="20"/>
              </w:rPr>
              <w:t>at St Jam</w:t>
            </w:r>
            <w:r>
              <w:rPr>
                <w:noProof/>
                <w:sz w:val="20"/>
                <w:szCs w:val="20"/>
              </w:rPr>
              <w:t>es’s</w:t>
            </w:r>
            <w:r w:rsidRPr="00965449">
              <w:rPr>
                <w:noProof/>
                <w:sz w:val="20"/>
                <w:szCs w:val="20"/>
              </w:rPr>
              <w:t xml:space="preserve"> </w:t>
            </w:r>
            <w:r>
              <w:rPr>
                <w:noProof/>
                <w:sz w:val="20"/>
                <w:szCs w:val="20"/>
              </w:rPr>
              <w:t>Hospital in Leeds, where they are expected to by only thirty minutes away from site. Out of hours accommodation at St James’s Hospital was also raised by trainees at the Cardiothoracic Review held in April 2018. This matter has been raised with the Trust  who reported that on site accommodation is available, for a nominal fee</w:t>
            </w:r>
            <w:r w:rsidRPr="00965449">
              <w:rPr>
                <w:noProof/>
                <w:sz w:val="20"/>
                <w:szCs w:val="20"/>
              </w:rPr>
              <w:t>.</w:t>
            </w:r>
            <w:r>
              <w:rPr>
                <w:noProof/>
                <w:sz w:val="20"/>
                <w:szCs w:val="20"/>
              </w:rPr>
              <w:t xml:space="preserve"> </w:t>
            </w:r>
          </w:p>
          <w:p w:rsidR="00052D21" w:rsidRDefault="00052D21" w:rsidP="009228C4">
            <w:pPr>
              <w:spacing w:after="200" w:line="276" w:lineRule="auto"/>
              <w:rPr>
                <w:sz w:val="20"/>
                <w:szCs w:val="20"/>
              </w:rPr>
            </w:pPr>
            <w:r w:rsidRPr="0060185D">
              <w:rPr>
                <w:b/>
                <w:noProof/>
                <w:sz w:val="20"/>
                <w:szCs w:val="20"/>
              </w:rPr>
              <w:t>Proposed reduction in the length of the Paediatrics programme</w:t>
            </w:r>
            <w:r w:rsidR="00304822">
              <w:rPr>
                <w:noProof/>
                <w:sz w:val="20"/>
                <w:szCs w:val="20"/>
              </w:rPr>
              <w:t xml:space="preserve"> - T</w:t>
            </w:r>
            <w:r w:rsidR="009228C4">
              <w:rPr>
                <w:sz w:val="20"/>
                <w:szCs w:val="20"/>
              </w:rPr>
              <w:t xml:space="preserve">here is </w:t>
            </w:r>
            <w:r>
              <w:rPr>
                <w:sz w:val="20"/>
                <w:szCs w:val="20"/>
              </w:rPr>
              <w:t xml:space="preserve">concern </w:t>
            </w:r>
            <w:r w:rsidR="009228C4">
              <w:rPr>
                <w:sz w:val="20"/>
                <w:szCs w:val="20"/>
              </w:rPr>
              <w:t xml:space="preserve">around the proposed GMC curriculum changes to education </w:t>
            </w:r>
            <w:r>
              <w:rPr>
                <w:sz w:val="20"/>
                <w:szCs w:val="20"/>
              </w:rPr>
              <w:t>and</w:t>
            </w:r>
            <w:r w:rsidR="009228C4">
              <w:rPr>
                <w:sz w:val="20"/>
                <w:szCs w:val="20"/>
              </w:rPr>
              <w:t xml:space="preserve"> training time which will result in </w:t>
            </w:r>
            <w:r>
              <w:rPr>
                <w:sz w:val="20"/>
                <w:szCs w:val="20"/>
              </w:rPr>
              <w:t xml:space="preserve">the Paediatrics programme </w:t>
            </w:r>
            <w:r w:rsidR="009228C4">
              <w:rPr>
                <w:sz w:val="20"/>
                <w:szCs w:val="20"/>
              </w:rPr>
              <w:t xml:space="preserve">being condensed from eight to six years. </w:t>
            </w:r>
            <w:r w:rsidR="00A763DD">
              <w:rPr>
                <w:sz w:val="20"/>
                <w:szCs w:val="20"/>
              </w:rPr>
              <w:t>ESs</w:t>
            </w:r>
            <w:r w:rsidR="009228C4">
              <w:rPr>
                <w:sz w:val="20"/>
                <w:szCs w:val="20"/>
              </w:rPr>
              <w:t xml:space="preserve"> felt that this would exacerbate pressures rather than alleviate them. </w:t>
            </w:r>
          </w:p>
          <w:p w:rsidR="005A53C6" w:rsidRPr="00174A83" w:rsidRDefault="009228C4" w:rsidP="009228C4">
            <w:pPr>
              <w:spacing w:after="200" w:line="276" w:lineRule="auto"/>
              <w:rPr>
                <w:sz w:val="20"/>
                <w:szCs w:val="20"/>
                <w:highlight w:val="yellow"/>
              </w:rPr>
            </w:pPr>
            <w:r w:rsidRPr="00021E44">
              <w:rPr>
                <w:sz w:val="20"/>
                <w:szCs w:val="20"/>
              </w:rPr>
              <w:t xml:space="preserve">The trainees recognised the significant clinical pressures being placed upon their </w:t>
            </w:r>
            <w:r w:rsidR="00A763DD">
              <w:rPr>
                <w:sz w:val="20"/>
                <w:szCs w:val="20"/>
              </w:rPr>
              <w:t>ESs</w:t>
            </w:r>
            <w:r w:rsidR="00AA0509">
              <w:rPr>
                <w:sz w:val="20"/>
                <w:szCs w:val="20"/>
              </w:rPr>
              <w:t>, and t</w:t>
            </w:r>
            <w:r w:rsidRPr="00021E44">
              <w:rPr>
                <w:sz w:val="20"/>
                <w:szCs w:val="20"/>
              </w:rPr>
              <w:t xml:space="preserve">he </w:t>
            </w:r>
            <w:r w:rsidR="00A763DD">
              <w:rPr>
                <w:sz w:val="20"/>
                <w:szCs w:val="20"/>
              </w:rPr>
              <w:t>ESs</w:t>
            </w:r>
            <w:r w:rsidRPr="00021E44">
              <w:rPr>
                <w:sz w:val="20"/>
                <w:szCs w:val="20"/>
              </w:rPr>
              <w:t xml:space="preserve"> were unanimous in corroborating this.</w:t>
            </w:r>
            <w:r w:rsidR="00AA0509">
              <w:rPr>
                <w:sz w:val="20"/>
                <w:szCs w:val="20"/>
              </w:rPr>
              <w:t xml:space="preserve"> </w:t>
            </w:r>
            <w:r w:rsidR="006622FE">
              <w:rPr>
                <w:sz w:val="20"/>
                <w:szCs w:val="20"/>
              </w:rPr>
              <w:t>ES’s</w:t>
            </w:r>
            <w:r w:rsidR="00AE7C7A">
              <w:rPr>
                <w:sz w:val="20"/>
                <w:szCs w:val="20"/>
              </w:rPr>
              <w:t xml:space="preserve"> are driven to improve training and strive to provide centres of excellence. </w:t>
            </w:r>
          </w:p>
          <w:p w:rsidR="005A53C6" w:rsidRPr="00174A83" w:rsidRDefault="005A53C6" w:rsidP="00C0475A">
            <w:pPr>
              <w:rPr>
                <w:sz w:val="20"/>
                <w:szCs w:val="20"/>
                <w:highlight w:val="yellow"/>
              </w:rPr>
            </w:pPr>
          </w:p>
          <w:p w:rsidR="00F1677C" w:rsidRPr="001273D6" w:rsidRDefault="00F1677C" w:rsidP="00E03B53">
            <w:pPr>
              <w:rPr>
                <w:sz w:val="20"/>
                <w:szCs w:val="20"/>
              </w:rPr>
            </w:pPr>
          </w:p>
        </w:tc>
      </w:tr>
    </w:tbl>
    <w:p w:rsidR="00F304E8" w:rsidRPr="00F304E8" w:rsidRDefault="00F304E8" w:rsidP="00F304E8"/>
    <w:p w:rsidR="00BC644F" w:rsidRDefault="00BC644F" w:rsidP="00BC644F"/>
    <w:p w:rsidR="00632376" w:rsidRDefault="00632376">
      <w:pPr>
        <w:rPr>
          <w:rFonts w:eastAsiaTheme="majorEastAsia" w:cs="Arial"/>
          <w:b/>
          <w:bCs/>
          <w:color w:val="A00054"/>
          <w:sz w:val="40"/>
          <w:szCs w:val="40"/>
        </w:rPr>
      </w:pPr>
      <w:bookmarkStart w:id="4" w:name="_Toc458755040"/>
      <w:r>
        <w:br w:type="page"/>
      </w:r>
    </w:p>
    <w:p w:rsidR="00BC644F" w:rsidRDefault="00F304E8" w:rsidP="00F304E8">
      <w:pPr>
        <w:pStyle w:val="Heading1"/>
        <w:jc w:val="center"/>
      </w:pPr>
      <w:r>
        <w:lastRenderedPageBreak/>
        <w:t>Sign off and next steps</w:t>
      </w:r>
    </w:p>
    <w:p w:rsidR="00BC644F" w:rsidRDefault="00F304E8" w:rsidP="00BC644F">
      <w:pPr>
        <w:pStyle w:val="Heading2"/>
      </w:pPr>
      <w:r>
        <w:t>R</w:t>
      </w:r>
      <w:r w:rsidR="00BC644F">
        <w:t>eport sign off</w:t>
      </w:r>
      <w:bookmarkEnd w:id="4"/>
    </w:p>
    <w:tbl>
      <w:tblPr>
        <w:tblW w:w="4816" w:type="pct"/>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4019"/>
        <w:gridCol w:w="5775"/>
      </w:tblGrid>
      <w:tr w:rsidR="00BC644F" w:rsidRPr="00455B2F" w:rsidTr="00853F0B">
        <w:trPr>
          <w:trHeight w:val="397"/>
        </w:trPr>
        <w:tc>
          <w:tcPr>
            <w:tcW w:w="2052" w:type="pct"/>
            <w:tcBorders>
              <w:top w:val="single" w:sz="12" w:space="0" w:color="0070C0"/>
              <w:bottom w:val="single" w:sz="4" w:space="0" w:color="0070C0"/>
              <w:right w:val="single" w:sz="4" w:space="0" w:color="0070C0"/>
            </w:tcBorders>
            <w:shd w:val="clear" w:color="auto" w:fill="0070C0"/>
            <w:vAlign w:val="center"/>
          </w:tcPr>
          <w:p w:rsidR="00BC644F" w:rsidRPr="002C2753" w:rsidRDefault="00BC644F" w:rsidP="00853F0B">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Outcome</w:t>
            </w:r>
            <w:r w:rsidRPr="002C2753">
              <w:rPr>
                <w:rFonts w:ascii="Arial" w:hAnsi="Arial" w:cs="Arial"/>
                <w:b/>
                <w:color w:val="FFFFFF" w:themeColor="background1"/>
                <w:sz w:val="20"/>
                <w:szCs w:val="20"/>
              </w:rPr>
              <w:t xml:space="preserve"> report completed by </w:t>
            </w:r>
            <w:r w:rsidRPr="002C2753">
              <w:rPr>
                <w:rFonts w:ascii="Arial" w:hAnsi="Arial" w:cs="Arial"/>
                <w:i/>
                <w:color w:val="FFFFFF" w:themeColor="background1"/>
                <w:sz w:val="20"/>
                <w:szCs w:val="20"/>
              </w:rPr>
              <w:t>(name)</w:t>
            </w:r>
            <w:r w:rsidRPr="002C2753">
              <w:rPr>
                <w:rFonts w:ascii="Arial" w:hAnsi="Arial" w:cs="Arial"/>
                <w:b/>
                <w:color w:val="FFFFFF" w:themeColor="background1"/>
                <w:sz w:val="20"/>
                <w:szCs w:val="20"/>
              </w:rPr>
              <w:t>:</w:t>
            </w:r>
          </w:p>
        </w:tc>
        <w:tc>
          <w:tcPr>
            <w:tcW w:w="2948" w:type="pct"/>
            <w:tcBorders>
              <w:top w:val="single" w:sz="12" w:space="0" w:color="0070C0"/>
              <w:left w:val="single" w:sz="4" w:space="0" w:color="0070C0"/>
              <w:bottom w:val="single" w:sz="4" w:space="0" w:color="0070C0"/>
            </w:tcBorders>
            <w:vAlign w:val="center"/>
          </w:tcPr>
          <w:p w:rsidR="00BC644F" w:rsidRPr="002C2753" w:rsidRDefault="006A1C8F" w:rsidP="00853F0B">
            <w:pPr>
              <w:pStyle w:val="BodyTextIndent"/>
              <w:spacing w:after="40"/>
              <w:ind w:left="0"/>
              <w:rPr>
                <w:rFonts w:ascii="Arial" w:hAnsi="Arial" w:cs="Arial"/>
                <w:sz w:val="20"/>
                <w:szCs w:val="20"/>
              </w:rPr>
            </w:pPr>
            <w:r>
              <w:rPr>
                <w:rFonts w:ascii="Arial" w:hAnsi="Arial" w:cs="Arial"/>
                <w:sz w:val="20"/>
                <w:szCs w:val="20"/>
              </w:rPr>
              <w:t>Emma Diggle</w:t>
            </w:r>
          </w:p>
        </w:tc>
      </w:tr>
      <w:tr w:rsidR="00BC644F" w:rsidRPr="00455B2F" w:rsidTr="00853F0B">
        <w:trPr>
          <w:trHeight w:val="397"/>
        </w:trPr>
        <w:tc>
          <w:tcPr>
            <w:tcW w:w="2052" w:type="pct"/>
            <w:tcBorders>
              <w:top w:val="single" w:sz="4" w:space="0" w:color="0070C0"/>
              <w:bottom w:val="single" w:sz="4" w:space="0" w:color="0070C0"/>
              <w:right w:val="single" w:sz="4" w:space="0" w:color="0070C0"/>
            </w:tcBorders>
            <w:shd w:val="clear" w:color="auto" w:fill="0070C0"/>
            <w:vAlign w:val="center"/>
          </w:tcPr>
          <w:p w:rsidR="00BC644F" w:rsidRPr="002C2753" w:rsidRDefault="00BC644F" w:rsidP="00853F0B">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Chair’s</w:t>
            </w:r>
            <w:r w:rsidRPr="002C2753">
              <w:rPr>
                <w:rFonts w:ascii="Arial" w:hAnsi="Arial" w:cs="Arial"/>
                <w:b/>
                <w:color w:val="FFFFFF" w:themeColor="background1"/>
                <w:sz w:val="20"/>
                <w:szCs w:val="20"/>
              </w:rPr>
              <w:t xml:space="preserve"> signature:</w:t>
            </w:r>
          </w:p>
        </w:tc>
        <w:tc>
          <w:tcPr>
            <w:tcW w:w="2948" w:type="pct"/>
            <w:tcBorders>
              <w:top w:val="single" w:sz="4" w:space="0" w:color="0070C0"/>
              <w:left w:val="single" w:sz="4" w:space="0" w:color="0070C0"/>
              <w:bottom w:val="single" w:sz="4" w:space="0" w:color="0070C0"/>
            </w:tcBorders>
            <w:vAlign w:val="center"/>
          </w:tcPr>
          <w:p w:rsidR="00BC644F" w:rsidRPr="002C2753" w:rsidRDefault="00486B6F" w:rsidP="00853F0B">
            <w:pPr>
              <w:pStyle w:val="BodyTextIndent"/>
              <w:spacing w:after="40"/>
              <w:ind w:left="0"/>
              <w:rPr>
                <w:rFonts w:ascii="Arial" w:hAnsi="Arial" w:cs="Arial"/>
                <w:sz w:val="20"/>
                <w:szCs w:val="20"/>
              </w:rPr>
            </w:pPr>
            <w:r>
              <w:rPr>
                <w:rFonts w:ascii="Arial" w:hAnsi="Arial" w:cs="Arial"/>
                <w:sz w:val="20"/>
                <w:szCs w:val="20"/>
              </w:rPr>
              <w:t>Jon Hossain and Fiona Bishop</w:t>
            </w:r>
          </w:p>
        </w:tc>
      </w:tr>
      <w:tr w:rsidR="00BC644F" w:rsidRPr="00455B2F" w:rsidTr="00853F0B">
        <w:trPr>
          <w:trHeight w:val="397"/>
        </w:trPr>
        <w:tc>
          <w:tcPr>
            <w:tcW w:w="2052" w:type="pct"/>
            <w:tcBorders>
              <w:top w:val="single" w:sz="4" w:space="0" w:color="0070C0"/>
              <w:bottom w:val="nil"/>
              <w:right w:val="single" w:sz="4" w:space="0" w:color="0070C0"/>
            </w:tcBorders>
            <w:shd w:val="clear" w:color="auto" w:fill="0070C0"/>
            <w:vAlign w:val="center"/>
          </w:tcPr>
          <w:p w:rsidR="00BC644F" w:rsidRPr="002C2753" w:rsidRDefault="00BC644F" w:rsidP="00853F0B">
            <w:pPr>
              <w:pStyle w:val="BodyTextIndent"/>
              <w:spacing w:after="40"/>
              <w:ind w:left="0"/>
              <w:rPr>
                <w:rFonts w:ascii="Arial" w:hAnsi="Arial" w:cs="Arial"/>
                <w:b/>
                <w:color w:val="FFFFFF" w:themeColor="background1"/>
                <w:sz w:val="20"/>
                <w:szCs w:val="20"/>
              </w:rPr>
            </w:pPr>
            <w:r w:rsidRPr="002C2753">
              <w:rPr>
                <w:rFonts w:ascii="Arial" w:hAnsi="Arial" w:cs="Arial"/>
                <w:b/>
                <w:color w:val="FFFFFF" w:themeColor="background1"/>
                <w:sz w:val="20"/>
                <w:szCs w:val="20"/>
              </w:rPr>
              <w:t>Date signed:</w:t>
            </w:r>
          </w:p>
        </w:tc>
        <w:tc>
          <w:tcPr>
            <w:tcW w:w="2948" w:type="pct"/>
            <w:tcBorders>
              <w:top w:val="single" w:sz="4" w:space="0" w:color="0070C0"/>
              <w:left w:val="single" w:sz="4" w:space="0" w:color="0070C0"/>
              <w:bottom w:val="nil"/>
            </w:tcBorders>
            <w:vAlign w:val="center"/>
          </w:tcPr>
          <w:p w:rsidR="00BC644F" w:rsidRPr="002C2753" w:rsidRDefault="001D1736" w:rsidP="00853F0B">
            <w:pPr>
              <w:pStyle w:val="BodyTextIndent"/>
              <w:spacing w:after="40"/>
              <w:ind w:left="0"/>
              <w:rPr>
                <w:rFonts w:ascii="Arial" w:hAnsi="Arial" w:cs="Arial"/>
                <w:sz w:val="20"/>
                <w:szCs w:val="20"/>
              </w:rPr>
            </w:pPr>
            <w:r>
              <w:rPr>
                <w:rFonts w:ascii="Arial" w:hAnsi="Arial" w:cs="Arial"/>
                <w:sz w:val="20"/>
                <w:szCs w:val="20"/>
              </w:rPr>
              <w:t>18.12.2018</w:t>
            </w:r>
          </w:p>
        </w:tc>
      </w:tr>
      <w:tr w:rsidR="00BC644F" w:rsidRPr="00455B2F" w:rsidTr="00853F0B">
        <w:trPr>
          <w:trHeight w:val="397"/>
        </w:trPr>
        <w:tc>
          <w:tcPr>
            <w:tcW w:w="5000" w:type="pct"/>
            <w:gridSpan w:val="2"/>
            <w:tcBorders>
              <w:top w:val="nil"/>
              <w:bottom w:val="nil"/>
            </w:tcBorders>
            <w:shd w:val="clear" w:color="auto" w:fill="C6D9F1" w:themeFill="text2" w:themeFillTint="33"/>
            <w:vAlign w:val="center"/>
          </w:tcPr>
          <w:p w:rsidR="00BC644F" w:rsidRPr="005D6685" w:rsidRDefault="00BC644F" w:rsidP="00853F0B">
            <w:pPr>
              <w:pStyle w:val="BodyTextIndent"/>
              <w:spacing w:after="40"/>
              <w:ind w:left="0"/>
              <w:rPr>
                <w:rStyle w:val="Style2"/>
                <w:color w:val="0070C0"/>
                <w:sz w:val="20"/>
                <w:szCs w:val="20"/>
              </w:rPr>
            </w:pPr>
          </w:p>
        </w:tc>
      </w:tr>
      <w:tr w:rsidR="00BC644F" w:rsidRPr="00455B2F" w:rsidTr="00853F0B">
        <w:trPr>
          <w:trHeight w:val="397"/>
        </w:trPr>
        <w:tc>
          <w:tcPr>
            <w:tcW w:w="2052" w:type="pct"/>
            <w:tcBorders>
              <w:top w:val="nil"/>
              <w:bottom w:val="single" w:sz="4" w:space="0" w:color="0070C0"/>
              <w:right w:val="single" w:sz="4" w:space="0" w:color="0070C0"/>
            </w:tcBorders>
            <w:shd w:val="clear" w:color="auto" w:fill="0070C0"/>
            <w:vAlign w:val="center"/>
          </w:tcPr>
          <w:p w:rsidR="00BC644F" w:rsidRPr="002C2753" w:rsidRDefault="00BC644F" w:rsidP="00F304E8">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 xml:space="preserve">HEE </w:t>
            </w:r>
            <w:r w:rsidR="00F304E8">
              <w:rPr>
                <w:rFonts w:ascii="Arial" w:hAnsi="Arial" w:cs="Arial"/>
                <w:b/>
                <w:color w:val="FFFFFF" w:themeColor="background1"/>
                <w:sz w:val="20"/>
                <w:szCs w:val="20"/>
              </w:rPr>
              <w:t>authorised s</w:t>
            </w:r>
            <w:r>
              <w:rPr>
                <w:rFonts w:ascii="Arial" w:hAnsi="Arial" w:cs="Arial"/>
                <w:b/>
                <w:color w:val="FFFFFF" w:themeColor="background1"/>
                <w:sz w:val="20"/>
                <w:szCs w:val="20"/>
              </w:rPr>
              <w:t>ignature</w:t>
            </w:r>
            <w:r w:rsidRPr="002C2753">
              <w:rPr>
                <w:rFonts w:ascii="Arial" w:hAnsi="Arial" w:cs="Arial"/>
                <w:b/>
                <w:color w:val="FFFFFF" w:themeColor="background1"/>
                <w:sz w:val="20"/>
                <w:szCs w:val="20"/>
              </w:rPr>
              <w:t>:</w:t>
            </w:r>
          </w:p>
        </w:tc>
        <w:tc>
          <w:tcPr>
            <w:tcW w:w="2948" w:type="pct"/>
            <w:tcBorders>
              <w:top w:val="nil"/>
              <w:left w:val="single" w:sz="4" w:space="0" w:color="0070C0"/>
              <w:bottom w:val="single" w:sz="4" w:space="0" w:color="0070C0"/>
            </w:tcBorders>
            <w:vAlign w:val="center"/>
          </w:tcPr>
          <w:p w:rsidR="00BC644F" w:rsidRPr="002C2753" w:rsidRDefault="00486B6F" w:rsidP="00853F0B">
            <w:pPr>
              <w:pStyle w:val="BodyTextIndent"/>
              <w:spacing w:after="40"/>
              <w:ind w:left="0"/>
              <w:rPr>
                <w:rFonts w:ascii="Arial" w:hAnsi="Arial" w:cs="Arial"/>
                <w:sz w:val="20"/>
                <w:szCs w:val="20"/>
              </w:rPr>
            </w:pPr>
            <w:r>
              <w:rPr>
                <w:rFonts w:ascii="Arial" w:hAnsi="Arial" w:cs="Arial"/>
                <w:sz w:val="20"/>
                <w:szCs w:val="20"/>
              </w:rPr>
              <w:t>Jon Hossain</w:t>
            </w:r>
            <w:r w:rsidR="001A7741">
              <w:rPr>
                <w:rFonts w:ascii="Arial" w:hAnsi="Arial" w:cs="Arial"/>
                <w:sz w:val="20"/>
                <w:szCs w:val="20"/>
              </w:rPr>
              <w:t xml:space="preserve"> (Deputy Dean</w:t>
            </w:r>
            <w:r w:rsidR="00D27843">
              <w:rPr>
                <w:rFonts w:ascii="Arial" w:hAnsi="Arial" w:cs="Arial"/>
                <w:sz w:val="20"/>
                <w:szCs w:val="20"/>
              </w:rPr>
              <w:t xml:space="preserve"> and Clinical Lead for Quality</w:t>
            </w:r>
            <w:r w:rsidR="001A7741">
              <w:rPr>
                <w:rFonts w:ascii="Arial" w:hAnsi="Arial" w:cs="Arial"/>
                <w:sz w:val="20"/>
                <w:szCs w:val="20"/>
              </w:rPr>
              <w:t>)</w:t>
            </w:r>
          </w:p>
        </w:tc>
      </w:tr>
      <w:tr w:rsidR="00BC644F" w:rsidRPr="00455B2F" w:rsidTr="00853F0B">
        <w:trPr>
          <w:trHeight w:val="397"/>
        </w:trPr>
        <w:tc>
          <w:tcPr>
            <w:tcW w:w="2052" w:type="pct"/>
            <w:tcBorders>
              <w:top w:val="single" w:sz="4" w:space="0" w:color="0070C0"/>
              <w:bottom w:val="nil"/>
              <w:right w:val="single" w:sz="4" w:space="0" w:color="0070C0"/>
            </w:tcBorders>
            <w:shd w:val="clear" w:color="auto" w:fill="0070C0"/>
            <w:vAlign w:val="center"/>
          </w:tcPr>
          <w:p w:rsidR="00BC644F" w:rsidRPr="002C2753" w:rsidRDefault="00BC644F" w:rsidP="00853F0B">
            <w:pPr>
              <w:pStyle w:val="BodyTextIndent"/>
              <w:spacing w:after="40"/>
              <w:ind w:left="0"/>
              <w:rPr>
                <w:rFonts w:ascii="Arial" w:hAnsi="Arial" w:cs="Arial"/>
                <w:b/>
                <w:color w:val="FFFFFF" w:themeColor="background1"/>
                <w:sz w:val="20"/>
                <w:szCs w:val="20"/>
              </w:rPr>
            </w:pPr>
            <w:r w:rsidRPr="002C2753">
              <w:rPr>
                <w:rFonts w:ascii="Arial" w:hAnsi="Arial" w:cs="Arial"/>
                <w:b/>
                <w:color w:val="FFFFFF" w:themeColor="background1"/>
                <w:sz w:val="20"/>
                <w:szCs w:val="20"/>
              </w:rPr>
              <w:t>Date signed:</w:t>
            </w:r>
          </w:p>
        </w:tc>
        <w:tc>
          <w:tcPr>
            <w:tcW w:w="2948" w:type="pct"/>
            <w:tcBorders>
              <w:top w:val="single" w:sz="4" w:space="0" w:color="0070C0"/>
              <w:left w:val="single" w:sz="4" w:space="0" w:color="0070C0"/>
              <w:bottom w:val="nil"/>
            </w:tcBorders>
            <w:vAlign w:val="center"/>
          </w:tcPr>
          <w:p w:rsidR="00BC644F" w:rsidRPr="002C2753" w:rsidRDefault="001D1736" w:rsidP="00D342EC">
            <w:pPr>
              <w:pStyle w:val="BodyTextIndent"/>
              <w:spacing w:after="40"/>
              <w:ind w:left="0"/>
              <w:rPr>
                <w:rFonts w:ascii="Arial" w:hAnsi="Arial" w:cs="Arial"/>
                <w:sz w:val="20"/>
                <w:szCs w:val="20"/>
              </w:rPr>
            </w:pPr>
            <w:r>
              <w:rPr>
                <w:rFonts w:ascii="Arial" w:hAnsi="Arial" w:cs="Arial"/>
                <w:sz w:val="20"/>
                <w:szCs w:val="20"/>
              </w:rPr>
              <w:t>18.12.2018</w:t>
            </w:r>
          </w:p>
        </w:tc>
      </w:tr>
      <w:tr w:rsidR="00BC644F" w:rsidRPr="00455B2F" w:rsidTr="00853F0B">
        <w:trPr>
          <w:trHeight w:val="397"/>
        </w:trPr>
        <w:tc>
          <w:tcPr>
            <w:tcW w:w="5000" w:type="pct"/>
            <w:gridSpan w:val="2"/>
            <w:tcBorders>
              <w:top w:val="nil"/>
              <w:bottom w:val="single" w:sz="4" w:space="0" w:color="0070C0"/>
            </w:tcBorders>
            <w:shd w:val="clear" w:color="auto" w:fill="C6D9F1" w:themeFill="text2" w:themeFillTint="33"/>
            <w:vAlign w:val="center"/>
          </w:tcPr>
          <w:p w:rsidR="00BC644F" w:rsidRPr="005D6685" w:rsidRDefault="00BC644F" w:rsidP="00853F0B">
            <w:pPr>
              <w:pStyle w:val="BodyTextIndent"/>
              <w:spacing w:after="40"/>
              <w:ind w:left="0"/>
              <w:rPr>
                <w:rStyle w:val="Style2"/>
                <w:color w:val="0070C0"/>
                <w:sz w:val="20"/>
                <w:szCs w:val="20"/>
              </w:rPr>
            </w:pPr>
          </w:p>
        </w:tc>
      </w:tr>
      <w:tr w:rsidR="00BC644F" w:rsidRPr="00455B2F" w:rsidTr="00853F0B">
        <w:trPr>
          <w:trHeight w:val="397"/>
        </w:trPr>
        <w:tc>
          <w:tcPr>
            <w:tcW w:w="2052" w:type="pct"/>
            <w:tcBorders>
              <w:top w:val="single" w:sz="4" w:space="0" w:color="0070C0"/>
              <w:bottom w:val="single" w:sz="12" w:space="0" w:color="0070C0"/>
              <w:right w:val="single" w:sz="4" w:space="0" w:color="0070C0"/>
            </w:tcBorders>
            <w:shd w:val="clear" w:color="auto" w:fill="0070C0"/>
            <w:vAlign w:val="center"/>
          </w:tcPr>
          <w:p w:rsidR="00BC644F" w:rsidRPr="00514AB6" w:rsidRDefault="00F304E8" w:rsidP="00853F0B">
            <w:pPr>
              <w:pStyle w:val="BodyTextIndent"/>
              <w:spacing w:after="40"/>
              <w:ind w:left="0"/>
              <w:rPr>
                <w:rFonts w:ascii="Arial" w:hAnsi="Arial" w:cs="Arial"/>
                <w:b/>
                <w:sz w:val="20"/>
                <w:szCs w:val="20"/>
              </w:rPr>
            </w:pPr>
            <w:r>
              <w:rPr>
                <w:rFonts w:ascii="Arial" w:hAnsi="Arial" w:cs="Arial"/>
                <w:b/>
                <w:color w:val="FFFFFF" w:themeColor="background1"/>
                <w:sz w:val="20"/>
                <w:szCs w:val="20"/>
              </w:rPr>
              <w:t>Date submitted to o</w:t>
            </w:r>
            <w:r w:rsidR="00BC644F">
              <w:rPr>
                <w:rFonts w:ascii="Arial" w:hAnsi="Arial" w:cs="Arial"/>
                <w:b/>
                <w:color w:val="FFFFFF" w:themeColor="background1"/>
                <w:sz w:val="20"/>
                <w:szCs w:val="20"/>
              </w:rPr>
              <w:t>rganisation</w:t>
            </w:r>
            <w:r w:rsidR="00BC644F" w:rsidRPr="002C2753">
              <w:rPr>
                <w:rFonts w:ascii="Arial" w:hAnsi="Arial" w:cs="Arial"/>
                <w:b/>
                <w:color w:val="FFFFFF" w:themeColor="background1"/>
                <w:sz w:val="20"/>
                <w:szCs w:val="20"/>
              </w:rPr>
              <w:t>:</w:t>
            </w:r>
          </w:p>
        </w:tc>
        <w:tc>
          <w:tcPr>
            <w:tcW w:w="2948" w:type="pct"/>
            <w:tcBorders>
              <w:top w:val="single" w:sz="4" w:space="0" w:color="0070C0"/>
              <w:left w:val="single" w:sz="4" w:space="0" w:color="0070C0"/>
              <w:bottom w:val="single" w:sz="12" w:space="0" w:color="0070C0"/>
            </w:tcBorders>
            <w:vAlign w:val="center"/>
          </w:tcPr>
          <w:p w:rsidR="00BC644F" w:rsidRPr="002C2753" w:rsidRDefault="001D1736" w:rsidP="00853F0B">
            <w:pPr>
              <w:pStyle w:val="BodyTextIndent"/>
              <w:spacing w:after="40"/>
              <w:ind w:left="0"/>
              <w:rPr>
                <w:rFonts w:ascii="Arial" w:hAnsi="Arial" w:cs="Arial"/>
                <w:sz w:val="20"/>
                <w:szCs w:val="20"/>
              </w:rPr>
            </w:pPr>
            <w:r>
              <w:rPr>
                <w:rFonts w:ascii="Arial" w:hAnsi="Arial" w:cs="Arial"/>
                <w:sz w:val="20"/>
                <w:szCs w:val="20"/>
              </w:rPr>
              <w:t>19.12.2018</w:t>
            </w:r>
          </w:p>
        </w:tc>
      </w:tr>
    </w:tbl>
    <w:p w:rsidR="00BC644F" w:rsidRPr="002C2753" w:rsidRDefault="00BC644F" w:rsidP="00BC644F"/>
    <w:p w:rsidR="00BC644F" w:rsidRDefault="00BC644F" w:rsidP="00BC644F">
      <w:pPr>
        <w:pStyle w:val="Heading2"/>
      </w:pPr>
      <w:bookmarkStart w:id="5" w:name="_Toc458755041"/>
    </w:p>
    <w:p w:rsidR="00BC644F" w:rsidRDefault="00BC644F" w:rsidP="00BC644F">
      <w:pPr>
        <w:pStyle w:val="Heading2"/>
      </w:pPr>
      <w:r>
        <w:t>Organisation staff to whom report is to be sent</w:t>
      </w:r>
      <w:bookmarkEnd w:id="5"/>
    </w:p>
    <w:tbl>
      <w:tblPr>
        <w:tblW w:w="4816" w:type="pct"/>
        <w:tblBorders>
          <w:top w:val="single" w:sz="12" w:space="0" w:color="0070C0"/>
          <w:left w:val="single" w:sz="12" w:space="0" w:color="0070C0"/>
          <w:bottom w:val="single" w:sz="12" w:space="0" w:color="0070C0"/>
          <w:right w:val="single" w:sz="12" w:space="0" w:color="0070C0"/>
          <w:insideH w:val="single" w:sz="4" w:space="0" w:color="0070C0"/>
          <w:insideV w:val="single" w:sz="4" w:space="0" w:color="0070C0"/>
        </w:tblBorders>
        <w:tblLook w:val="01E0" w:firstRow="1" w:lastRow="1" w:firstColumn="1" w:lastColumn="1" w:noHBand="0" w:noVBand="0"/>
      </w:tblPr>
      <w:tblGrid>
        <w:gridCol w:w="3688"/>
        <w:gridCol w:w="6106"/>
      </w:tblGrid>
      <w:tr w:rsidR="00BC644F" w:rsidRPr="00455B2F" w:rsidTr="00F304E8">
        <w:trPr>
          <w:trHeight w:val="397"/>
        </w:trPr>
        <w:tc>
          <w:tcPr>
            <w:tcW w:w="1883" w:type="pct"/>
            <w:shd w:val="clear" w:color="auto" w:fill="0070C0"/>
            <w:vAlign w:val="center"/>
          </w:tcPr>
          <w:p w:rsidR="00BC644F" w:rsidRPr="002C2753" w:rsidRDefault="00BC644F" w:rsidP="00853F0B">
            <w:pPr>
              <w:pStyle w:val="BodyTextIndent"/>
              <w:spacing w:after="40"/>
              <w:ind w:left="0"/>
              <w:rPr>
                <w:rFonts w:ascii="Arial" w:hAnsi="Arial" w:cs="Arial"/>
                <w:b/>
                <w:color w:val="FFFFFF" w:themeColor="background1"/>
                <w:sz w:val="20"/>
                <w:szCs w:val="20"/>
              </w:rPr>
            </w:pPr>
            <w:r w:rsidRPr="002C2753">
              <w:rPr>
                <w:rFonts w:ascii="Arial" w:hAnsi="Arial" w:cs="Arial"/>
                <w:b/>
                <w:color w:val="FFFFFF" w:themeColor="background1"/>
                <w:sz w:val="20"/>
                <w:szCs w:val="20"/>
              </w:rPr>
              <w:t>Job title</w:t>
            </w:r>
          </w:p>
        </w:tc>
        <w:tc>
          <w:tcPr>
            <w:tcW w:w="3117" w:type="pct"/>
            <w:shd w:val="clear" w:color="auto" w:fill="0070C0"/>
            <w:vAlign w:val="center"/>
          </w:tcPr>
          <w:p w:rsidR="00BC644F" w:rsidRPr="002C2753" w:rsidRDefault="00BC644F" w:rsidP="00853F0B">
            <w:pPr>
              <w:pStyle w:val="BodyTextIndent"/>
              <w:spacing w:after="40"/>
              <w:ind w:left="0"/>
              <w:rPr>
                <w:rFonts w:ascii="Arial" w:hAnsi="Arial" w:cs="Arial"/>
                <w:b/>
                <w:color w:val="FFFFFF" w:themeColor="background1"/>
                <w:sz w:val="20"/>
                <w:szCs w:val="20"/>
              </w:rPr>
            </w:pPr>
            <w:r w:rsidRPr="002C2753">
              <w:rPr>
                <w:rFonts w:ascii="Arial" w:hAnsi="Arial" w:cs="Arial"/>
                <w:b/>
                <w:color w:val="FFFFFF" w:themeColor="background1"/>
                <w:sz w:val="20"/>
                <w:szCs w:val="20"/>
              </w:rPr>
              <w:t>Name</w:t>
            </w:r>
          </w:p>
        </w:tc>
      </w:tr>
      <w:tr w:rsidR="00BC644F" w:rsidRPr="00455B2F" w:rsidTr="00F304E8">
        <w:trPr>
          <w:trHeight w:val="397"/>
        </w:trPr>
        <w:tc>
          <w:tcPr>
            <w:tcW w:w="1883" w:type="pct"/>
            <w:shd w:val="clear" w:color="auto" w:fill="auto"/>
            <w:vAlign w:val="center"/>
          </w:tcPr>
          <w:p w:rsidR="00BC644F" w:rsidRPr="00DE4574" w:rsidRDefault="001A7741" w:rsidP="00853F0B">
            <w:pPr>
              <w:pStyle w:val="BodyTextIndent"/>
              <w:spacing w:after="40"/>
              <w:ind w:left="0"/>
              <w:rPr>
                <w:rFonts w:ascii="Arial" w:hAnsi="Arial" w:cs="Arial"/>
                <w:sz w:val="20"/>
                <w:szCs w:val="20"/>
              </w:rPr>
            </w:pPr>
            <w:r>
              <w:rPr>
                <w:rFonts w:ascii="Arial" w:hAnsi="Arial" w:cs="Arial"/>
                <w:sz w:val="20"/>
                <w:szCs w:val="20"/>
              </w:rPr>
              <w:t>Head of School</w:t>
            </w:r>
          </w:p>
        </w:tc>
        <w:tc>
          <w:tcPr>
            <w:tcW w:w="3117" w:type="pct"/>
            <w:vAlign w:val="center"/>
          </w:tcPr>
          <w:p w:rsidR="00BC644F" w:rsidRPr="002C2753" w:rsidRDefault="00486B6F" w:rsidP="00853F0B">
            <w:pPr>
              <w:pStyle w:val="BodyTextIndent"/>
              <w:spacing w:after="40"/>
              <w:ind w:left="0"/>
              <w:rPr>
                <w:rFonts w:ascii="Arial" w:hAnsi="Arial" w:cs="Arial"/>
                <w:sz w:val="20"/>
                <w:szCs w:val="20"/>
              </w:rPr>
            </w:pPr>
            <w:r>
              <w:rPr>
                <w:rFonts w:ascii="Arial" w:hAnsi="Arial" w:cs="Arial"/>
                <w:sz w:val="20"/>
                <w:szCs w:val="20"/>
              </w:rPr>
              <w:t>Karin Schwartz</w:t>
            </w:r>
          </w:p>
        </w:tc>
      </w:tr>
      <w:tr w:rsidR="00BC644F" w:rsidRPr="00455B2F" w:rsidTr="00F304E8">
        <w:trPr>
          <w:trHeight w:val="397"/>
        </w:trPr>
        <w:tc>
          <w:tcPr>
            <w:tcW w:w="1883" w:type="pct"/>
            <w:shd w:val="clear" w:color="auto" w:fill="auto"/>
            <w:vAlign w:val="center"/>
          </w:tcPr>
          <w:p w:rsidR="00BC644F" w:rsidRPr="00DE4574" w:rsidRDefault="001A7741" w:rsidP="00853F0B">
            <w:pPr>
              <w:pStyle w:val="BodyTextIndent"/>
              <w:spacing w:after="40"/>
              <w:ind w:left="0"/>
              <w:rPr>
                <w:rFonts w:ascii="Arial" w:hAnsi="Arial" w:cs="Arial"/>
                <w:sz w:val="20"/>
                <w:szCs w:val="20"/>
              </w:rPr>
            </w:pPr>
            <w:r>
              <w:rPr>
                <w:rFonts w:ascii="Arial" w:hAnsi="Arial" w:cs="Arial"/>
                <w:sz w:val="20"/>
                <w:szCs w:val="20"/>
              </w:rPr>
              <w:t>Business Manager</w:t>
            </w:r>
          </w:p>
        </w:tc>
        <w:tc>
          <w:tcPr>
            <w:tcW w:w="3117" w:type="pct"/>
            <w:vAlign w:val="center"/>
          </w:tcPr>
          <w:p w:rsidR="00BC644F" w:rsidRPr="002C2753" w:rsidRDefault="00486B6F" w:rsidP="00853F0B">
            <w:pPr>
              <w:pStyle w:val="BodyTextIndent"/>
              <w:spacing w:after="40"/>
              <w:ind w:left="0"/>
              <w:rPr>
                <w:rFonts w:ascii="Arial" w:hAnsi="Arial" w:cs="Arial"/>
                <w:sz w:val="20"/>
                <w:szCs w:val="20"/>
              </w:rPr>
            </w:pPr>
            <w:r>
              <w:rPr>
                <w:rFonts w:ascii="Arial" w:hAnsi="Arial" w:cs="Arial"/>
                <w:sz w:val="20"/>
                <w:szCs w:val="20"/>
              </w:rPr>
              <w:t>Elaine Broch</w:t>
            </w:r>
          </w:p>
        </w:tc>
      </w:tr>
      <w:tr w:rsidR="00BC644F" w:rsidRPr="00455B2F" w:rsidTr="00F304E8">
        <w:trPr>
          <w:trHeight w:val="397"/>
        </w:trPr>
        <w:tc>
          <w:tcPr>
            <w:tcW w:w="1883" w:type="pct"/>
            <w:shd w:val="clear" w:color="auto" w:fill="auto"/>
            <w:vAlign w:val="center"/>
          </w:tcPr>
          <w:p w:rsidR="00BC644F" w:rsidRDefault="00486B6F" w:rsidP="00853F0B">
            <w:pPr>
              <w:pStyle w:val="BodyTextIndent"/>
              <w:spacing w:after="40"/>
              <w:ind w:left="0"/>
              <w:rPr>
                <w:rFonts w:ascii="Arial" w:hAnsi="Arial" w:cs="Arial"/>
                <w:sz w:val="20"/>
                <w:szCs w:val="20"/>
              </w:rPr>
            </w:pPr>
            <w:r>
              <w:rPr>
                <w:rFonts w:ascii="Arial" w:hAnsi="Arial" w:cs="Arial"/>
                <w:sz w:val="20"/>
                <w:szCs w:val="20"/>
              </w:rPr>
              <w:t>Programme Support</w:t>
            </w:r>
            <w:r w:rsidR="001A7741">
              <w:rPr>
                <w:rFonts w:ascii="Arial" w:hAnsi="Arial" w:cs="Arial"/>
                <w:sz w:val="20"/>
                <w:szCs w:val="20"/>
              </w:rPr>
              <w:t xml:space="preserve"> Manager</w:t>
            </w:r>
          </w:p>
        </w:tc>
        <w:tc>
          <w:tcPr>
            <w:tcW w:w="3117" w:type="pct"/>
            <w:vAlign w:val="center"/>
          </w:tcPr>
          <w:p w:rsidR="00BC644F" w:rsidRPr="002C2753" w:rsidRDefault="00D27843" w:rsidP="00853F0B">
            <w:pPr>
              <w:pStyle w:val="BodyTextIndent"/>
              <w:spacing w:after="40"/>
              <w:ind w:left="0"/>
              <w:rPr>
                <w:rFonts w:ascii="Arial" w:hAnsi="Arial" w:cs="Arial"/>
                <w:sz w:val="20"/>
                <w:szCs w:val="20"/>
              </w:rPr>
            </w:pPr>
            <w:r>
              <w:rPr>
                <w:rFonts w:ascii="Arial" w:hAnsi="Arial" w:cs="Arial"/>
                <w:sz w:val="20"/>
                <w:szCs w:val="20"/>
              </w:rPr>
              <w:t>Rachel Noble</w:t>
            </w:r>
          </w:p>
        </w:tc>
      </w:tr>
    </w:tbl>
    <w:p w:rsidR="00BC644F" w:rsidRDefault="00BC644F" w:rsidP="00BC644F">
      <w:pPr>
        <w:pStyle w:val="Heading2"/>
      </w:pPr>
      <w:bookmarkStart w:id="6" w:name="_Toc458755043"/>
    </w:p>
    <w:p w:rsidR="00BC644F" w:rsidRDefault="00BC644F" w:rsidP="001A7741">
      <w:pPr>
        <w:pStyle w:val="Heading2"/>
      </w:pPr>
    </w:p>
    <w:p w:rsidR="00BC644F" w:rsidRDefault="00BC644F" w:rsidP="00BC644F">
      <w:pPr>
        <w:rPr>
          <w:rFonts w:eastAsia="MS Gothic" w:cs="Arial"/>
          <w:b/>
          <w:bCs/>
          <w:color w:val="A00054"/>
          <w:sz w:val="40"/>
          <w:szCs w:val="40"/>
        </w:rPr>
      </w:pPr>
      <w:bookmarkStart w:id="7" w:name="_Toc458755042"/>
      <w:r>
        <w:br w:type="page"/>
      </w:r>
    </w:p>
    <w:p w:rsidR="00BC644F" w:rsidRDefault="00BC644F" w:rsidP="00CD2EEF">
      <w:pPr>
        <w:pStyle w:val="Heading1"/>
        <w:jc w:val="center"/>
      </w:pPr>
      <w:r>
        <w:lastRenderedPageBreak/>
        <w:t>Findings and conclusions</w:t>
      </w:r>
      <w:bookmarkEnd w:id="7"/>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1"/>
        <w:gridCol w:w="6494"/>
        <w:gridCol w:w="1244"/>
      </w:tblGrid>
      <w:tr w:rsidR="00DE63DF" w:rsidRPr="008E2F0C" w:rsidTr="00551EAE">
        <w:trPr>
          <w:trHeight w:val="285"/>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GMC Theme</w:t>
            </w:r>
          </w:p>
        </w:tc>
        <w:tc>
          <w:tcPr>
            <w:tcW w:w="7738" w:type="dxa"/>
            <w:gridSpan w:val="2"/>
            <w:shd w:val="clear" w:color="auto" w:fill="auto"/>
          </w:tcPr>
          <w:p w:rsidR="00DE63DF" w:rsidRPr="008E2F0C" w:rsidRDefault="00DE63DF" w:rsidP="00DE13E2">
            <w:pPr>
              <w:rPr>
                <w:rFonts w:cs="Arial"/>
                <w:b/>
                <w:sz w:val="20"/>
                <w:szCs w:val="20"/>
              </w:rPr>
            </w:pPr>
            <w:r w:rsidRPr="008E2F0C">
              <w:rPr>
                <w:rFonts w:cs="Arial"/>
                <w:b/>
                <w:sz w:val="20"/>
                <w:szCs w:val="20"/>
              </w:rPr>
              <w:t>SUPPORTING LEARNERS</w:t>
            </w:r>
          </w:p>
        </w:tc>
      </w:tr>
      <w:tr w:rsidR="00DE63DF" w:rsidRPr="008E2F0C" w:rsidTr="00551EAE">
        <w:trPr>
          <w:trHeight w:val="975"/>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Requirement</w:t>
            </w:r>
          </w:p>
          <w:p w:rsidR="00DE63DF" w:rsidRPr="008E2F0C" w:rsidRDefault="00DE63DF" w:rsidP="00DE13E2">
            <w:pPr>
              <w:rPr>
                <w:rFonts w:cs="Arial"/>
                <w:b/>
                <w:sz w:val="20"/>
                <w:szCs w:val="20"/>
              </w:rPr>
            </w:pPr>
            <w:r w:rsidRPr="008E2F0C">
              <w:rPr>
                <w:rFonts w:cs="Arial"/>
                <w:b/>
                <w:color w:val="0000FF"/>
                <w:sz w:val="20"/>
                <w:szCs w:val="20"/>
              </w:rPr>
              <w:t>(R3.13 Feedback)</w:t>
            </w:r>
          </w:p>
        </w:tc>
        <w:tc>
          <w:tcPr>
            <w:tcW w:w="7738" w:type="dxa"/>
            <w:gridSpan w:val="2"/>
            <w:shd w:val="clear" w:color="auto" w:fill="auto"/>
          </w:tcPr>
          <w:p w:rsidR="00DE63DF" w:rsidRPr="008E2F0C" w:rsidRDefault="00DE63DF" w:rsidP="00DE13E2">
            <w:pPr>
              <w:rPr>
                <w:rFonts w:cs="Arial"/>
                <w:sz w:val="20"/>
                <w:szCs w:val="20"/>
              </w:rPr>
            </w:pPr>
            <w:r w:rsidRPr="008E2F0C">
              <w:rPr>
                <w:rFonts w:cs="Arial"/>
                <w:sz w:val="20"/>
                <w:szCs w:val="20"/>
              </w:rPr>
              <w:t>Learners must receive regular, constructive and meaningful feedback on their performance, development and progress at appropriate points in their medical course or training programme and be encouraged to act upon it. Feedback must come from educators, other doctors, health and social care professionals and, where possible, patients, families and carers</w:t>
            </w:r>
          </w:p>
        </w:tc>
      </w:tr>
      <w:tr w:rsidR="00DE63DF" w:rsidRPr="008E2F0C" w:rsidTr="00551EAE">
        <w:trPr>
          <w:trHeight w:val="285"/>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HEYH Condition Number</w:t>
            </w:r>
          </w:p>
        </w:tc>
        <w:tc>
          <w:tcPr>
            <w:tcW w:w="7738" w:type="dxa"/>
            <w:gridSpan w:val="2"/>
            <w:shd w:val="clear" w:color="auto" w:fill="auto"/>
          </w:tcPr>
          <w:p w:rsidR="00DE63DF" w:rsidRPr="008E2F0C" w:rsidRDefault="00507374" w:rsidP="00DE13E2">
            <w:pPr>
              <w:rPr>
                <w:rFonts w:cs="Arial"/>
                <w:sz w:val="20"/>
                <w:szCs w:val="20"/>
              </w:rPr>
            </w:pPr>
            <w:r>
              <w:rPr>
                <w:rFonts w:cs="Arial"/>
                <w:i/>
                <w:sz w:val="20"/>
                <w:szCs w:val="20"/>
                <w:lang w:eastAsia="en-GB"/>
              </w:rPr>
              <w:t>20181120</w:t>
            </w:r>
            <w:r w:rsidRPr="004F48CA">
              <w:rPr>
                <w:rFonts w:cs="Arial"/>
                <w:i/>
                <w:sz w:val="20"/>
                <w:szCs w:val="20"/>
                <w:lang w:eastAsia="en-GB"/>
              </w:rPr>
              <w:t>_HEEYH_RQ1</w:t>
            </w:r>
          </w:p>
        </w:tc>
      </w:tr>
      <w:tr w:rsidR="00DE63DF" w:rsidRPr="008E2F0C" w:rsidTr="00551EAE">
        <w:trPr>
          <w:trHeight w:val="300"/>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Specialty (Specialties)</w:t>
            </w:r>
          </w:p>
        </w:tc>
        <w:tc>
          <w:tcPr>
            <w:tcW w:w="7738" w:type="dxa"/>
            <w:gridSpan w:val="2"/>
            <w:shd w:val="clear" w:color="auto" w:fill="auto"/>
          </w:tcPr>
          <w:p w:rsidR="00DE63DF" w:rsidRPr="008E2F0C" w:rsidRDefault="00726929" w:rsidP="00DE13E2">
            <w:pPr>
              <w:rPr>
                <w:rFonts w:cs="Arial"/>
                <w:sz w:val="20"/>
                <w:szCs w:val="20"/>
              </w:rPr>
            </w:pPr>
            <w:r w:rsidRPr="008E2F0C">
              <w:rPr>
                <w:rFonts w:cs="Arial"/>
                <w:sz w:val="20"/>
                <w:szCs w:val="20"/>
              </w:rPr>
              <w:t>Paediatrics (GRID)</w:t>
            </w:r>
          </w:p>
        </w:tc>
      </w:tr>
      <w:tr w:rsidR="00DE63DF" w:rsidRPr="008E2F0C" w:rsidTr="00551EAE">
        <w:trPr>
          <w:trHeight w:val="285"/>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Trainee Level</w:t>
            </w:r>
          </w:p>
        </w:tc>
        <w:tc>
          <w:tcPr>
            <w:tcW w:w="7738" w:type="dxa"/>
            <w:gridSpan w:val="2"/>
            <w:shd w:val="clear" w:color="auto" w:fill="auto"/>
          </w:tcPr>
          <w:p w:rsidR="00DE63DF" w:rsidRPr="008E2F0C" w:rsidRDefault="00726929" w:rsidP="00DE13E2">
            <w:pPr>
              <w:rPr>
                <w:rFonts w:cs="Arial"/>
                <w:sz w:val="20"/>
                <w:szCs w:val="20"/>
              </w:rPr>
            </w:pPr>
            <w:r w:rsidRPr="008E2F0C">
              <w:rPr>
                <w:rFonts w:cs="Arial"/>
                <w:sz w:val="20"/>
                <w:szCs w:val="20"/>
              </w:rPr>
              <w:t>Higher</w:t>
            </w:r>
          </w:p>
        </w:tc>
      </w:tr>
      <w:tr w:rsidR="00DE63DF" w:rsidRPr="008E2F0C" w:rsidTr="009C46A4">
        <w:trPr>
          <w:trHeight w:val="480"/>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Concern</w:t>
            </w:r>
            <w:r w:rsidR="009C46A4" w:rsidRPr="008E2F0C">
              <w:rPr>
                <w:rFonts w:cs="Arial"/>
                <w:b/>
                <w:sz w:val="20"/>
                <w:szCs w:val="20"/>
              </w:rPr>
              <w:t xml:space="preserve"> 1</w:t>
            </w:r>
          </w:p>
          <w:p w:rsidR="00DE63DF" w:rsidRPr="008E2F0C" w:rsidRDefault="00DE63DF" w:rsidP="00DE13E2">
            <w:pPr>
              <w:rPr>
                <w:rFonts w:cs="Arial"/>
                <w:sz w:val="20"/>
                <w:szCs w:val="20"/>
              </w:rPr>
            </w:pPr>
          </w:p>
        </w:tc>
        <w:tc>
          <w:tcPr>
            <w:tcW w:w="6494" w:type="dxa"/>
            <w:shd w:val="clear" w:color="auto" w:fill="auto"/>
          </w:tcPr>
          <w:p w:rsidR="00DE63DF" w:rsidRPr="008E2F0C" w:rsidRDefault="00DE63DF" w:rsidP="00DE13E2">
            <w:pPr>
              <w:rPr>
                <w:rFonts w:cs="Arial"/>
                <w:sz w:val="20"/>
                <w:szCs w:val="20"/>
              </w:rPr>
            </w:pPr>
            <w:r w:rsidRPr="008E2F0C">
              <w:rPr>
                <w:rFonts w:cs="Arial"/>
                <w:sz w:val="20"/>
                <w:szCs w:val="20"/>
              </w:rPr>
              <w:t>Trainees receive little or no feedback on their performance</w:t>
            </w:r>
            <w:r w:rsidR="00726929" w:rsidRPr="008E2F0C">
              <w:rPr>
                <w:rFonts w:cs="Arial"/>
                <w:sz w:val="20"/>
                <w:szCs w:val="20"/>
              </w:rPr>
              <w:t>.</w:t>
            </w:r>
          </w:p>
        </w:tc>
        <w:tc>
          <w:tcPr>
            <w:tcW w:w="1244" w:type="dxa"/>
            <w:shd w:val="clear" w:color="auto" w:fill="auto"/>
          </w:tcPr>
          <w:p w:rsidR="00DE63DF" w:rsidRPr="008E2F0C" w:rsidRDefault="00DE63DF" w:rsidP="00DE13E2">
            <w:pPr>
              <w:rPr>
                <w:rFonts w:cs="Arial"/>
                <w:sz w:val="20"/>
                <w:szCs w:val="20"/>
              </w:rPr>
            </w:pPr>
          </w:p>
        </w:tc>
      </w:tr>
      <w:tr w:rsidR="00DE63DF" w:rsidRPr="008E2F0C" w:rsidTr="009C46A4">
        <w:trPr>
          <w:trHeight w:val="285"/>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Evidence for Concern</w:t>
            </w:r>
          </w:p>
        </w:tc>
        <w:tc>
          <w:tcPr>
            <w:tcW w:w="6494" w:type="dxa"/>
            <w:shd w:val="clear" w:color="auto" w:fill="auto"/>
          </w:tcPr>
          <w:p w:rsidR="00DE63DF" w:rsidRPr="008E2F0C" w:rsidRDefault="009C46A4" w:rsidP="009C46A4">
            <w:pPr>
              <w:spacing w:after="200" w:line="276" w:lineRule="auto"/>
              <w:rPr>
                <w:rFonts w:cs="Arial"/>
                <w:sz w:val="20"/>
                <w:szCs w:val="20"/>
              </w:rPr>
            </w:pPr>
            <w:r w:rsidRPr="008E2F0C">
              <w:rPr>
                <w:rFonts w:cs="Arial"/>
                <w:sz w:val="20"/>
                <w:szCs w:val="20"/>
              </w:rPr>
              <w:t xml:space="preserve">Trainees voiced that they only see senior </w:t>
            </w:r>
            <w:r w:rsidR="00792C63">
              <w:rPr>
                <w:rFonts w:cs="Arial"/>
                <w:sz w:val="20"/>
                <w:szCs w:val="20"/>
              </w:rPr>
              <w:t>trainers</w:t>
            </w:r>
            <w:r w:rsidRPr="008E2F0C">
              <w:rPr>
                <w:rFonts w:cs="Arial"/>
                <w:sz w:val="20"/>
                <w:szCs w:val="20"/>
              </w:rPr>
              <w:t xml:space="preserve"> when there is an adverse situation such as a poor Annual Review of Competence Progression (ARCP) outcome</w:t>
            </w:r>
            <w:r w:rsidR="00AE7C7A">
              <w:rPr>
                <w:rFonts w:cs="Arial"/>
                <w:sz w:val="20"/>
                <w:szCs w:val="20"/>
              </w:rPr>
              <w:t>.</w:t>
            </w:r>
            <w:r w:rsidRPr="008E2F0C">
              <w:rPr>
                <w:rFonts w:cs="Arial"/>
                <w:sz w:val="20"/>
                <w:szCs w:val="20"/>
              </w:rPr>
              <w:t> Additionally, due to a timing misalignment between the SESAC review and national ARCP reviews, trainees expect to receive an outcome five whatever they do. Trainees suggested that a letter or email informing the trainee on how they are progressing and better informing them of the ARCP outcome would be beneficial and alleviate some of the anxieties</w:t>
            </w:r>
          </w:p>
        </w:tc>
        <w:tc>
          <w:tcPr>
            <w:tcW w:w="1244" w:type="dxa"/>
            <w:shd w:val="clear" w:color="auto" w:fill="auto"/>
          </w:tcPr>
          <w:p w:rsidR="00DE63DF" w:rsidRPr="008E2F0C" w:rsidRDefault="00DE63DF" w:rsidP="00DE13E2">
            <w:pPr>
              <w:rPr>
                <w:rFonts w:cs="Arial"/>
                <w:sz w:val="20"/>
                <w:szCs w:val="20"/>
              </w:rPr>
            </w:pPr>
          </w:p>
        </w:tc>
      </w:tr>
      <w:tr w:rsidR="00DE63DF" w:rsidRPr="008E2F0C" w:rsidTr="009C46A4">
        <w:trPr>
          <w:trHeight w:val="720"/>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Action</w:t>
            </w:r>
            <w:r w:rsidR="00726929" w:rsidRPr="008E2F0C">
              <w:rPr>
                <w:rFonts w:cs="Arial"/>
                <w:b/>
                <w:sz w:val="20"/>
                <w:szCs w:val="20"/>
              </w:rPr>
              <w:t xml:space="preserve"> </w:t>
            </w:r>
            <w:r w:rsidR="0013554F">
              <w:rPr>
                <w:rFonts w:cs="Arial"/>
                <w:b/>
                <w:sz w:val="20"/>
                <w:szCs w:val="20"/>
              </w:rPr>
              <w:t>1</w:t>
            </w:r>
          </w:p>
          <w:p w:rsidR="00DE63DF" w:rsidRPr="008E2F0C" w:rsidRDefault="00DE63DF" w:rsidP="00DE13E2">
            <w:pPr>
              <w:rPr>
                <w:rFonts w:cs="Arial"/>
                <w:sz w:val="20"/>
                <w:szCs w:val="20"/>
              </w:rPr>
            </w:pPr>
          </w:p>
        </w:tc>
        <w:tc>
          <w:tcPr>
            <w:tcW w:w="6494" w:type="dxa"/>
            <w:shd w:val="clear" w:color="auto" w:fill="auto"/>
          </w:tcPr>
          <w:p w:rsidR="00DE63DF" w:rsidRPr="008E2F0C" w:rsidRDefault="00DE63DF" w:rsidP="00DE13E2">
            <w:pPr>
              <w:rPr>
                <w:rFonts w:cs="Arial"/>
                <w:sz w:val="20"/>
                <w:szCs w:val="20"/>
              </w:rPr>
            </w:pPr>
            <w:r w:rsidRPr="008E2F0C">
              <w:rPr>
                <w:rFonts w:cs="Arial"/>
                <w:sz w:val="20"/>
                <w:szCs w:val="20"/>
              </w:rPr>
              <w:t xml:space="preserve">Trainees must be provided with regular useful feedback on their performance. </w:t>
            </w:r>
            <w:r w:rsidR="00726929" w:rsidRPr="008E2F0C">
              <w:rPr>
                <w:rFonts w:cs="Arial"/>
                <w:sz w:val="20"/>
                <w:szCs w:val="20"/>
              </w:rPr>
              <w:t>Educational</w:t>
            </w:r>
            <w:r w:rsidRPr="008E2F0C">
              <w:rPr>
                <w:rFonts w:cs="Arial"/>
                <w:sz w:val="20"/>
                <w:szCs w:val="20"/>
              </w:rPr>
              <w:t xml:space="preserve"> supervisors should be reminded of their responsibilities</w:t>
            </w:r>
            <w:r w:rsidR="00726929" w:rsidRPr="008E2F0C">
              <w:rPr>
                <w:rFonts w:cs="Arial"/>
                <w:sz w:val="20"/>
                <w:szCs w:val="20"/>
              </w:rPr>
              <w:t>.</w:t>
            </w:r>
            <w:r w:rsidR="00792C63">
              <w:rPr>
                <w:rFonts w:cs="Arial"/>
                <w:sz w:val="20"/>
                <w:szCs w:val="20"/>
              </w:rPr>
              <w:t xml:space="preserve"> ARCP panels could be encouraged to write a summary of progress, including positive feedback, on the ARCP outcome form.</w:t>
            </w:r>
          </w:p>
        </w:tc>
        <w:tc>
          <w:tcPr>
            <w:tcW w:w="1244" w:type="dxa"/>
            <w:shd w:val="clear" w:color="auto" w:fill="auto"/>
          </w:tcPr>
          <w:p w:rsidR="00DE63DF" w:rsidRPr="008E2F0C" w:rsidRDefault="0013554F" w:rsidP="00DE13E2">
            <w:pPr>
              <w:rPr>
                <w:rFonts w:cs="Arial"/>
                <w:b/>
                <w:color w:val="0000FF"/>
                <w:sz w:val="20"/>
                <w:szCs w:val="20"/>
              </w:rPr>
            </w:pPr>
            <w:r>
              <w:rPr>
                <w:rFonts w:cs="Arial"/>
                <w:b/>
                <w:color w:val="0000FF"/>
                <w:sz w:val="20"/>
                <w:szCs w:val="20"/>
              </w:rPr>
              <w:t>January 2019</w:t>
            </w:r>
          </w:p>
        </w:tc>
      </w:tr>
      <w:tr w:rsidR="0013554F" w:rsidRPr="008E2F0C" w:rsidTr="009C46A4">
        <w:trPr>
          <w:trHeight w:val="735"/>
        </w:trPr>
        <w:tc>
          <w:tcPr>
            <w:tcW w:w="2731" w:type="dxa"/>
            <w:shd w:val="clear" w:color="auto" w:fill="auto"/>
          </w:tcPr>
          <w:p w:rsidR="0013554F" w:rsidRPr="008E2F0C" w:rsidRDefault="0013554F" w:rsidP="00DE13E2">
            <w:pPr>
              <w:rPr>
                <w:rFonts w:cs="Arial"/>
                <w:b/>
                <w:sz w:val="20"/>
                <w:szCs w:val="20"/>
              </w:rPr>
            </w:pPr>
            <w:r>
              <w:rPr>
                <w:rFonts w:cs="Arial"/>
                <w:b/>
                <w:sz w:val="20"/>
                <w:szCs w:val="20"/>
              </w:rPr>
              <w:t xml:space="preserve">Action 2 </w:t>
            </w:r>
          </w:p>
        </w:tc>
        <w:tc>
          <w:tcPr>
            <w:tcW w:w="6494" w:type="dxa"/>
            <w:shd w:val="clear" w:color="auto" w:fill="auto"/>
          </w:tcPr>
          <w:p w:rsidR="0013554F" w:rsidRPr="008E2F0C" w:rsidRDefault="0013554F" w:rsidP="00DE13E2">
            <w:pPr>
              <w:rPr>
                <w:rFonts w:cs="Arial"/>
                <w:sz w:val="20"/>
                <w:szCs w:val="20"/>
              </w:rPr>
            </w:pPr>
            <w:r>
              <w:rPr>
                <w:rFonts w:cs="Arial"/>
                <w:sz w:val="20"/>
                <w:szCs w:val="20"/>
              </w:rPr>
              <w:t xml:space="preserve">Review NETS and GMC NTS to determine if improvements in the feedback trainees are receiving on their performance have taken place. To supplement this the Quality Team and School of Paediatrics will work </w:t>
            </w:r>
            <w:r w:rsidR="00145349">
              <w:rPr>
                <w:rFonts w:cs="Arial"/>
                <w:sz w:val="20"/>
                <w:szCs w:val="20"/>
              </w:rPr>
              <w:t>together to carry out a survey o</w:t>
            </w:r>
            <w:r>
              <w:rPr>
                <w:rFonts w:cs="Arial"/>
                <w:sz w:val="20"/>
                <w:szCs w:val="20"/>
              </w:rPr>
              <w:t xml:space="preserve">f GRID trainees to gather targeted views.  </w:t>
            </w:r>
          </w:p>
        </w:tc>
        <w:tc>
          <w:tcPr>
            <w:tcW w:w="1244" w:type="dxa"/>
            <w:shd w:val="clear" w:color="auto" w:fill="auto"/>
          </w:tcPr>
          <w:p w:rsidR="0013554F" w:rsidRPr="008E2F0C" w:rsidRDefault="0013554F" w:rsidP="00DE13E2">
            <w:pPr>
              <w:rPr>
                <w:rFonts w:cs="Arial"/>
                <w:b/>
                <w:color w:val="0000FF"/>
                <w:sz w:val="20"/>
                <w:szCs w:val="20"/>
              </w:rPr>
            </w:pPr>
            <w:r>
              <w:rPr>
                <w:rFonts w:cs="Arial"/>
                <w:b/>
                <w:color w:val="0000FF"/>
                <w:sz w:val="20"/>
                <w:szCs w:val="20"/>
              </w:rPr>
              <w:t>June 2019</w:t>
            </w:r>
          </w:p>
        </w:tc>
      </w:tr>
      <w:tr w:rsidR="00DE63DF" w:rsidRPr="008E2F0C" w:rsidTr="009C46A4">
        <w:trPr>
          <w:trHeight w:val="735"/>
        </w:trPr>
        <w:tc>
          <w:tcPr>
            <w:tcW w:w="2731" w:type="dxa"/>
            <w:shd w:val="clear" w:color="auto" w:fill="auto"/>
          </w:tcPr>
          <w:p w:rsidR="00DE63DF" w:rsidRPr="008E2F0C" w:rsidRDefault="00DE63DF" w:rsidP="00DE13E2">
            <w:pPr>
              <w:rPr>
                <w:rFonts w:cs="Arial"/>
                <w:b/>
                <w:sz w:val="20"/>
                <w:szCs w:val="20"/>
              </w:rPr>
            </w:pPr>
            <w:r w:rsidRPr="008E2F0C">
              <w:rPr>
                <w:rFonts w:cs="Arial"/>
                <w:b/>
                <w:sz w:val="20"/>
                <w:szCs w:val="20"/>
              </w:rPr>
              <w:t>Evidence for Action</w:t>
            </w:r>
            <w:r w:rsidR="0013554F">
              <w:rPr>
                <w:rFonts w:cs="Arial"/>
                <w:b/>
                <w:sz w:val="20"/>
                <w:szCs w:val="20"/>
              </w:rPr>
              <w:t xml:space="preserve"> 1</w:t>
            </w:r>
          </w:p>
          <w:p w:rsidR="00DE63DF" w:rsidRPr="008E2F0C" w:rsidRDefault="00DE63DF" w:rsidP="00DE13E2">
            <w:pPr>
              <w:rPr>
                <w:rFonts w:cs="Arial"/>
                <w:b/>
                <w:sz w:val="20"/>
                <w:szCs w:val="20"/>
              </w:rPr>
            </w:pPr>
          </w:p>
        </w:tc>
        <w:tc>
          <w:tcPr>
            <w:tcW w:w="6494" w:type="dxa"/>
            <w:shd w:val="clear" w:color="auto" w:fill="auto"/>
          </w:tcPr>
          <w:p w:rsidR="00DE63DF" w:rsidRPr="008E2F0C" w:rsidRDefault="00DE63DF" w:rsidP="00DE13E2">
            <w:pPr>
              <w:rPr>
                <w:rFonts w:cs="Arial"/>
                <w:sz w:val="20"/>
                <w:szCs w:val="20"/>
              </w:rPr>
            </w:pPr>
            <w:r w:rsidRPr="008E2F0C">
              <w:rPr>
                <w:rFonts w:cs="Arial"/>
                <w:sz w:val="20"/>
                <w:szCs w:val="20"/>
              </w:rPr>
              <w:t xml:space="preserve">Copy of action plan. </w:t>
            </w:r>
          </w:p>
        </w:tc>
        <w:tc>
          <w:tcPr>
            <w:tcW w:w="1244" w:type="dxa"/>
            <w:shd w:val="clear" w:color="auto" w:fill="auto"/>
          </w:tcPr>
          <w:p w:rsidR="00DE63DF" w:rsidRPr="008E2F0C" w:rsidRDefault="0013554F" w:rsidP="0013554F">
            <w:pPr>
              <w:rPr>
                <w:rFonts w:cs="Arial"/>
                <w:b/>
                <w:color w:val="0000FF"/>
                <w:sz w:val="20"/>
                <w:szCs w:val="20"/>
              </w:rPr>
            </w:pPr>
            <w:r>
              <w:rPr>
                <w:rFonts w:cs="Arial"/>
                <w:b/>
                <w:color w:val="0000FF"/>
                <w:sz w:val="20"/>
                <w:szCs w:val="20"/>
              </w:rPr>
              <w:t>January 2019</w:t>
            </w:r>
          </w:p>
        </w:tc>
      </w:tr>
      <w:tr w:rsidR="00726929" w:rsidRPr="008E2F0C" w:rsidTr="009C46A4">
        <w:trPr>
          <w:trHeight w:val="735"/>
        </w:trPr>
        <w:tc>
          <w:tcPr>
            <w:tcW w:w="2731" w:type="dxa"/>
            <w:shd w:val="clear" w:color="auto" w:fill="auto"/>
          </w:tcPr>
          <w:p w:rsidR="00726929" w:rsidRPr="008E2F0C" w:rsidRDefault="00726929" w:rsidP="00726929">
            <w:pPr>
              <w:rPr>
                <w:rFonts w:cs="Arial"/>
                <w:b/>
                <w:sz w:val="20"/>
                <w:szCs w:val="20"/>
              </w:rPr>
            </w:pPr>
            <w:r w:rsidRPr="008E2F0C">
              <w:rPr>
                <w:rFonts w:cs="Arial"/>
                <w:b/>
                <w:sz w:val="20"/>
                <w:szCs w:val="20"/>
              </w:rPr>
              <w:t>Evidence for Action</w:t>
            </w:r>
            <w:r w:rsidR="0013554F">
              <w:rPr>
                <w:rFonts w:cs="Arial"/>
                <w:b/>
                <w:sz w:val="20"/>
                <w:szCs w:val="20"/>
              </w:rPr>
              <w:t xml:space="preserve"> 2</w:t>
            </w:r>
          </w:p>
          <w:p w:rsidR="00726929" w:rsidRPr="008E2F0C" w:rsidRDefault="00726929" w:rsidP="00726929">
            <w:pPr>
              <w:rPr>
                <w:rFonts w:cs="Arial"/>
                <w:b/>
                <w:sz w:val="20"/>
                <w:szCs w:val="20"/>
              </w:rPr>
            </w:pPr>
          </w:p>
        </w:tc>
        <w:tc>
          <w:tcPr>
            <w:tcW w:w="6494" w:type="dxa"/>
            <w:shd w:val="clear" w:color="auto" w:fill="auto"/>
          </w:tcPr>
          <w:p w:rsidR="00726929" w:rsidRPr="008E2F0C" w:rsidRDefault="0013554F" w:rsidP="00726929">
            <w:pPr>
              <w:rPr>
                <w:rFonts w:cs="Arial"/>
                <w:sz w:val="20"/>
                <w:szCs w:val="20"/>
              </w:rPr>
            </w:pPr>
            <w:r>
              <w:rPr>
                <w:rFonts w:cs="Arial"/>
                <w:sz w:val="20"/>
                <w:szCs w:val="20"/>
              </w:rPr>
              <w:t>Trainee</w:t>
            </w:r>
            <w:r w:rsidR="00726929" w:rsidRPr="008E2F0C">
              <w:rPr>
                <w:rFonts w:cs="Arial"/>
                <w:sz w:val="20"/>
                <w:szCs w:val="20"/>
              </w:rPr>
              <w:t>s</w:t>
            </w:r>
            <w:r>
              <w:rPr>
                <w:rFonts w:cs="Arial"/>
                <w:sz w:val="20"/>
                <w:szCs w:val="20"/>
              </w:rPr>
              <w:t>’</w:t>
            </w:r>
            <w:r w:rsidR="00726929" w:rsidRPr="008E2F0C">
              <w:rPr>
                <w:rFonts w:cs="Arial"/>
                <w:sz w:val="20"/>
                <w:szCs w:val="20"/>
              </w:rPr>
              <w:t xml:space="preserve"> views </w:t>
            </w:r>
            <w:r>
              <w:rPr>
                <w:rFonts w:cs="Arial"/>
                <w:sz w:val="20"/>
                <w:szCs w:val="20"/>
              </w:rPr>
              <w:t xml:space="preserve">(via NETS, GMC NTS and a targeted survey </w:t>
            </w:r>
            <w:r w:rsidR="00726929" w:rsidRPr="008E2F0C">
              <w:rPr>
                <w:rFonts w:cs="Arial"/>
                <w:sz w:val="20"/>
                <w:szCs w:val="20"/>
              </w:rPr>
              <w:t>on</w:t>
            </w:r>
            <w:r>
              <w:rPr>
                <w:rFonts w:cs="Arial"/>
                <w:sz w:val="20"/>
                <w:szCs w:val="20"/>
              </w:rPr>
              <w:t xml:space="preserve"> a</w:t>
            </w:r>
            <w:r w:rsidR="00726929" w:rsidRPr="008E2F0C">
              <w:rPr>
                <w:rFonts w:cs="Arial"/>
                <w:sz w:val="20"/>
                <w:szCs w:val="20"/>
              </w:rPr>
              <w:t xml:space="preserve"> change to educational culture must confirm that opportunities for useful feedback have improved.</w:t>
            </w:r>
            <w:r>
              <w:rPr>
                <w:rFonts w:cs="Arial"/>
                <w:sz w:val="20"/>
                <w:szCs w:val="20"/>
              </w:rPr>
              <w:t xml:space="preserve">  </w:t>
            </w:r>
          </w:p>
        </w:tc>
        <w:tc>
          <w:tcPr>
            <w:tcW w:w="1244" w:type="dxa"/>
            <w:shd w:val="clear" w:color="auto" w:fill="auto"/>
          </w:tcPr>
          <w:p w:rsidR="00726929" w:rsidRPr="008E2F0C" w:rsidRDefault="0013554F" w:rsidP="00726929">
            <w:pPr>
              <w:rPr>
                <w:rFonts w:cs="Arial"/>
                <w:b/>
                <w:color w:val="0000FF"/>
                <w:sz w:val="20"/>
                <w:szCs w:val="20"/>
              </w:rPr>
            </w:pPr>
            <w:r>
              <w:rPr>
                <w:rFonts w:cs="Arial"/>
                <w:b/>
                <w:color w:val="0000FF"/>
                <w:sz w:val="20"/>
                <w:szCs w:val="20"/>
              </w:rPr>
              <w:t>July 2019</w:t>
            </w:r>
          </w:p>
          <w:p w:rsidR="00726929" w:rsidRPr="008E2F0C" w:rsidRDefault="00726929" w:rsidP="00726929">
            <w:pPr>
              <w:rPr>
                <w:rFonts w:cs="Arial"/>
                <w:b/>
                <w:color w:val="0000FF"/>
                <w:sz w:val="20"/>
                <w:szCs w:val="20"/>
              </w:rPr>
            </w:pPr>
          </w:p>
        </w:tc>
      </w:tr>
      <w:tr w:rsidR="00726929" w:rsidRPr="008E2F0C" w:rsidTr="008E2F0C">
        <w:trPr>
          <w:trHeight w:val="285"/>
        </w:trPr>
        <w:tc>
          <w:tcPr>
            <w:tcW w:w="2731" w:type="dxa"/>
            <w:shd w:val="clear" w:color="auto" w:fill="auto"/>
          </w:tcPr>
          <w:p w:rsidR="00726929" w:rsidRPr="008E2F0C" w:rsidRDefault="00726929" w:rsidP="00726929">
            <w:pPr>
              <w:rPr>
                <w:rFonts w:cs="Arial"/>
                <w:b/>
                <w:sz w:val="20"/>
                <w:szCs w:val="20"/>
              </w:rPr>
            </w:pPr>
            <w:r w:rsidRPr="008E2F0C">
              <w:rPr>
                <w:rFonts w:cs="Arial"/>
                <w:b/>
                <w:sz w:val="20"/>
                <w:szCs w:val="20"/>
              </w:rPr>
              <w:t>RAG Rating</w:t>
            </w:r>
          </w:p>
        </w:tc>
        <w:tc>
          <w:tcPr>
            <w:tcW w:w="7738" w:type="dxa"/>
            <w:gridSpan w:val="2"/>
            <w:shd w:val="clear" w:color="auto" w:fill="FF0000"/>
          </w:tcPr>
          <w:p w:rsidR="00726929" w:rsidRPr="008E2F0C" w:rsidRDefault="00726929" w:rsidP="00726929">
            <w:pPr>
              <w:rPr>
                <w:rFonts w:cs="Arial"/>
                <w:b/>
                <w:sz w:val="20"/>
                <w:szCs w:val="20"/>
              </w:rPr>
            </w:pPr>
            <w:r w:rsidRPr="008E2F0C">
              <w:rPr>
                <w:rFonts w:cs="Arial"/>
                <w:b/>
                <w:sz w:val="20"/>
                <w:szCs w:val="20"/>
              </w:rPr>
              <w:t>RED</w:t>
            </w:r>
          </w:p>
        </w:tc>
      </w:tr>
    </w:tbl>
    <w:p w:rsidR="00DE63DF" w:rsidRDefault="00DE63DF" w:rsidP="00DE63DF"/>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GMC Theme</w:t>
            </w:r>
          </w:p>
        </w:tc>
        <w:tc>
          <w:tcPr>
            <w:tcW w:w="7653" w:type="dxa"/>
            <w:gridSpan w:val="2"/>
            <w:shd w:val="clear" w:color="auto" w:fill="auto"/>
          </w:tcPr>
          <w:p w:rsidR="00DE63DF" w:rsidRPr="008E2F0C" w:rsidRDefault="00DE63DF" w:rsidP="00DE13E2">
            <w:pPr>
              <w:rPr>
                <w:rFonts w:cs="Arial"/>
                <w:b/>
                <w:sz w:val="20"/>
                <w:szCs w:val="20"/>
              </w:rPr>
            </w:pPr>
            <w:r w:rsidRPr="008E2F0C">
              <w:rPr>
                <w:rFonts w:cs="Arial"/>
                <w:b/>
                <w:sz w:val="20"/>
                <w:szCs w:val="20"/>
              </w:rPr>
              <w:t>EDUCATIONAL GOVERNANCE</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Requirement</w:t>
            </w:r>
          </w:p>
          <w:p w:rsidR="00DE63DF" w:rsidRPr="008E2F0C" w:rsidRDefault="00DE63DF" w:rsidP="00DE13E2">
            <w:pPr>
              <w:rPr>
                <w:rFonts w:cs="Arial"/>
                <w:b/>
                <w:sz w:val="20"/>
                <w:szCs w:val="20"/>
              </w:rPr>
            </w:pPr>
            <w:r w:rsidRPr="008E2F0C">
              <w:rPr>
                <w:rFonts w:cs="Arial"/>
                <w:b/>
                <w:color w:val="0000FF"/>
                <w:sz w:val="20"/>
                <w:szCs w:val="20"/>
              </w:rPr>
              <w:t>(R2.17 Sharing Concerns)</w:t>
            </w:r>
          </w:p>
        </w:tc>
        <w:tc>
          <w:tcPr>
            <w:tcW w:w="7653" w:type="dxa"/>
            <w:gridSpan w:val="2"/>
            <w:shd w:val="clear" w:color="auto" w:fill="auto"/>
          </w:tcPr>
          <w:p w:rsidR="00DE63DF" w:rsidRPr="008E2F0C" w:rsidRDefault="00DE63DF" w:rsidP="00DE13E2">
            <w:pPr>
              <w:rPr>
                <w:rFonts w:cs="Arial"/>
                <w:sz w:val="20"/>
                <w:szCs w:val="20"/>
              </w:rPr>
            </w:pPr>
            <w:r w:rsidRPr="008E2F0C">
              <w:rPr>
                <w:rFonts w:cs="Arial"/>
                <w:sz w:val="20"/>
                <w:szCs w:val="20"/>
              </w:rPr>
              <w:t>The organisation must have a process for sharing information between all relevant organisations whenever they identify safety, well-being or fitness to practise (</w:t>
            </w:r>
            <w:proofErr w:type="spellStart"/>
            <w:r w:rsidRPr="008E2F0C">
              <w:rPr>
                <w:rFonts w:cs="Arial"/>
                <w:sz w:val="20"/>
                <w:szCs w:val="20"/>
              </w:rPr>
              <w:t>FtP</w:t>
            </w:r>
            <w:proofErr w:type="spellEnd"/>
            <w:r w:rsidRPr="008E2F0C">
              <w:rPr>
                <w:rFonts w:cs="Arial"/>
                <w:sz w:val="20"/>
                <w:szCs w:val="20"/>
              </w:rPr>
              <w:t>) concerns about a learner, particularly when a learner is progressing to the next stage of training.</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HEYH Condition Number</w:t>
            </w:r>
          </w:p>
        </w:tc>
        <w:tc>
          <w:tcPr>
            <w:tcW w:w="7653" w:type="dxa"/>
            <w:gridSpan w:val="2"/>
            <w:shd w:val="clear" w:color="auto" w:fill="auto"/>
          </w:tcPr>
          <w:p w:rsidR="00DE63DF" w:rsidRPr="008E2F0C" w:rsidRDefault="00507374" w:rsidP="00DE13E2">
            <w:pPr>
              <w:rPr>
                <w:rFonts w:cs="Arial"/>
                <w:sz w:val="20"/>
                <w:szCs w:val="20"/>
              </w:rPr>
            </w:pPr>
            <w:r>
              <w:rPr>
                <w:rFonts w:cs="Arial"/>
                <w:i/>
                <w:sz w:val="20"/>
                <w:szCs w:val="20"/>
                <w:lang w:eastAsia="en-GB"/>
              </w:rPr>
              <w:t>20181120</w:t>
            </w:r>
            <w:r w:rsidRPr="004F48CA">
              <w:rPr>
                <w:rFonts w:cs="Arial"/>
                <w:i/>
                <w:sz w:val="20"/>
                <w:szCs w:val="20"/>
                <w:lang w:eastAsia="en-GB"/>
              </w:rPr>
              <w:t>_HEEYH_RQ</w:t>
            </w:r>
            <w:r>
              <w:rPr>
                <w:rFonts w:cs="Arial"/>
                <w:i/>
                <w:sz w:val="20"/>
                <w:szCs w:val="20"/>
                <w:lang w:eastAsia="en-GB"/>
              </w:rPr>
              <w:t>2</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Specialty (Specialties)</w:t>
            </w:r>
          </w:p>
        </w:tc>
        <w:tc>
          <w:tcPr>
            <w:tcW w:w="7653" w:type="dxa"/>
            <w:gridSpan w:val="2"/>
            <w:shd w:val="clear" w:color="auto" w:fill="auto"/>
          </w:tcPr>
          <w:p w:rsidR="00DE63DF" w:rsidRPr="008E2F0C" w:rsidRDefault="00606B54" w:rsidP="00DE13E2">
            <w:pPr>
              <w:rPr>
                <w:rFonts w:cs="Arial"/>
                <w:sz w:val="20"/>
                <w:szCs w:val="20"/>
              </w:rPr>
            </w:pPr>
            <w:r w:rsidRPr="008E2F0C">
              <w:rPr>
                <w:rFonts w:cs="Arial"/>
                <w:sz w:val="20"/>
                <w:szCs w:val="20"/>
              </w:rPr>
              <w:t xml:space="preserve">Paediatrics </w:t>
            </w:r>
            <w:r w:rsidR="008E2F0C">
              <w:rPr>
                <w:rFonts w:cs="Arial"/>
                <w:sz w:val="20"/>
                <w:szCs w:val="20"/>
              </w:rPr>
              <w:t>(</w:t>
            </w:r>
            <w:r w:rsidRPr="008E2F0C">
              <w:rPr>
                <w:rFonts w:cs="Arial"/>
                <w:sz w:val="20"/>
                <w:szCs w:val="20"/>
              </w:rPr>
              <w:t>General</w:t>
            </w:r>
            <w:r w:rsidR="008E2F0C">
              <w:rPr>
                <w:rFonts w:cs="Arial"/>
                <w:sz w:val="20"/>
                <w:szCs w:val="20"/>
              </w:rPr>
              <w:t>)</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Trainee Level</w:t>
            </w:r>
          </w:p>
        </w:tc>
        <w:tc>
          <w:tcPr>
            <w:tcW w:w="7653" w:type="dxa"/>
            <w:gridSpan w:val="2"/>
            <w:shd w:val="clear" w:color="auto" w:fill="auto"/>
          </w:tcPr>
          <w:p w:rsidR="00DE63DF" w:rsidRPr="008E2F0C" w:rsidRDefault="00606B54" w:rsidP="00DE13E2">
            <w:pPr>
              <w:rPr>
                <w:rFonts w:cs="Arial"/>
                <w:sz w:val="20"/>
                <w:szCs w:val="20"/>
              </w:rPr>
            </w:pPr>
            <w:r w:rsidRPr="008E2F0C">
              <w:rPr>
                <w:rFonts w:cs="Arial"/>
                <w:sz w:val="20"/>
                <w:szCs w:val="20"/>
              </w:rPr>
              <w:t>Higher</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Concern</w:t>
            </w:r>
            <w:r w:rsidR="00606B54" w:rsidRPr="008E2F0C">
              <w:rPr>
                <w:rFonts w:cs="Arial"/>
                <w:b/>
                <w:sz w:val="20"/>
                <w:szCs w:val="20"/>
              </w:rPr>
              <w:t xml:space="preserve"> 1</w:t>
            </w:r>
          </w:p>
          <w:p w:rsidR="00DE63DF" w:rsidRPr="008E2F0C" w:rsidRDefault="00DE63DF" w:rsidP="00DE13E2">
            <w:pPr>
              <w:rPr>
                <w:rFonts w:cs="Arial"/>
                <w:b/>
                <w:sz w:val="20"/>
                <w:szCs w:val="20"/>
              </w:rPr>
            </w:pPr>
          </w:p>
        </w:tc>
        <w:tc>
          <w:tcPr>
            <w:tcW w:w="7653" w:type="dxa"/>
            <w:gridSpan w:val="2"/>
            <w:shd w:val="clear" w:color="auto" w:fill="auto"/>
          </w:tcPr>
          <w:p w:rsidR="00DE63DF" w:rsidRPr="008E2F0C" w:rsidRDefault="00DE63DF" w:rsidP="00DE13E2">
            <w:pPr>
              <w:rPr>
                <w:rFonts w:cs="Arial"/>
                <w:sz w:val="20"/>
                <w:szCs w:val="20"/>
              </w:rPr>
            </w:pPr>
            <w:r w:rsidRPr="008E2F0C">
              <w:rPr>
                <w:rFonts w:cs="Arial"/>
                <w:sz w:val="20"/>
                <w:szCs w:val="20"/>
              </w:rPr>
              <w:t xml:space="preserve">Educational supervisors do not complete reports in sufficient </w:t>
            </w:r>
            <w:r w:rsidR="008E2F0C" w:rsidRPr="008E2F0C">
              <w:rPr>
                <w:rFonts w:cs="Arial"/>
                <w:sz w:val="20"/>
                <w:szCs w:val="20"/>
              </w:rPr>
              <w:t xml:space="preserve">detail, </w:t>
            </w:r>
            <w:r w:rsidRPr="008E2F0C">
              <w:rPr>
                <w:rFonts w:cs="Arial"/>
                <w:sz w:val="20"/>
                <w:szCs w:val="20"/>
              </w:rPr>
              <w:t>especial</w:t>
            </w:r>
            <w:r w:rsidR="008E2F0C" w:rsidRPr="008E2F0C">
              <w:rPr>
                <w:rFonts w:cs="Arial"/>
                <w:sz w:val="20"/>
                <w:szCs w:val="20"/>
              </w:rPr>
              <w:t>ly for trainees in difficulty</w:t>
            </w:r>
            <w:r w:rsidRPr="008E2F0C">
              <w:rPr>
                <w:rFonts w:cs="Arial"/>
                <w:sz w:val="20"/>
                <w:szCs w:val="20"/>
              </w:rPr>
              <w:t>.</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Concern</w:t>
            </w:r>
            <w:r w:rsidR="00606B54" w:rsidRPr="008E2F0C">
              <w:rPr>
                <w:rFonts w:cs="Arial"/>
                <w:b/>
                <w:sz w:val="20"/>
                <w:szCs w:val="20"/>
              </w:rPr>
              <w:t xml:space="preserve"> 2</w:t>
            </w:r>
          </w:p>
          <w:p w:rsidR="00DE63DF" w:rsidRPr="008E2F0C" w:rsidRDefault="00DE63DF" w:rsidP="00DE13E2">
            <w:pPr>
              <w:rPr>
                <w:rFonts w:cs="Arial"/>
                <w:b/>
                <w:sz w:val="20"/>
                <w:szCs w:val="20"/>
              </w:rPr>
            </w:pPr>
          </w:p>
        </w:tc>
        <w:tc>
          <w:tcPr>
            <w:tcW w:w="7653" w:type="dxa"/>
            <w:gridSpan w:val="2"/>
            <w:shd w:val="clear" w:color="auto" w:fill="auto"/>
          </w:tcPr>
          <w:p w:rsidR="00DE63DF" w:rsidRPr="008E2F0C" w:rsidRDefault="00DE63DF" w:rsidP="00DE13E2">
            <w:pPr>
              <w:rPr>
                <w:rFonts w:cs="Arial"/>
                <w:sz w:val="20"/>
                <w:szCs w:val="20"/>
              </w:rPr>
            </w:pPr>
            <w:r w:rsidRPr="008E2F0C">
              <w:rPr>
                <w:rFonts w:cs="Arial"/>
                <w:sz w:val="20"/>
                <w:szCs w:val="20"/>
              </w:rPr>
              <w:t xml:space="preserve">If a trainee has experienced difficulties during their attachment, appropriate information has not been communicated with the relevant people </w:t>
            </w:r>
            <w:r w:rsidR="008E2F0C" w:rsidRPr="008E2F0C">
              <w:rPr>
                <w:rFonts w:cs="Arial"/>
                <w:sz w:val="20"/>
                <w:szCs w:val="20"/>
              </w:rPr>
              <w:t>on the next rotation.</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Evidence for Concern</w:t>
            </w:r>
          </w:p>
        </w:tc>
        <w:tc>
          <w:tcPr>
            <w:tcW w:w="7653" w:type="dxa"/>
            <w:gridSpan w:val="2"/>
            <w:shd w:val="clear" w:color="auto" w:fill="auto"/>
          </w:tcPr>
          <w:p w:rsidR="00DE63DF" w:rsidRPr="008E2F0C" w:rsidRDefault="00606B54" w:rsidP="00DE13E2">
            <w:pPr>
              <w:rPr>
                <w:rFonts w:cs="Arial"/>
                <w:sz w:val="20"/>
                <w:szCs w:val="20"/>
              </w:rPr>
            </w:pPr>
            <w:r w:rsidRPr="008E2F0C">
              <w:rPr>
                <w:rFonts w:cs="Arial"/>
                <w:sz w:val="20"/>
                <w:szCs w:val="20"/>
              </w:rPr>
              <w:t xml:space="preserve">Educational Supervisors raised concerns around a reluctance by some ESs to officially record or evidence a </w:t>
            </w:r>
            <w:r w:rsidR="00565E8C">
              <w:rPr>
                <w:rFonts w:cs="Arial"/>
                <w:sz w:val="20"/>
                <w:szCs w:val="20"/>
              </w:rPr>
              <w:t>TED</w:t>
            </w:r>
            <w:r w:rsidRPr="008E2F0C">
              <w:rPr>
                <w:rFonts w:cs="Arial"/>
                <w:sz w:val="20"/>
                <w:szCs w:val="20"/>
              </w:rPr>
              <w:t xml:space="preserve"> (it was noted that these are not usually within GRID). ESs feel that written evidence could be recorded in the e-portfolio so this can be passed onto the next rotation. More work needs to be d</w:t>
            </w:r>
            <w:r w:rsidR="00565E8C">
              <w:rPr>
                <w:rFonts w:cs="Arial"/>
                <w:sz w:val="20"/>
                <w:szCs w:val="20"/>
              </w:rPr>
              <w:t xml:space="preserve">one to empower ESs </w:t>
            </w:r>
            <w:r w:rsidR="00565E8C">
              <w:rPr>
                <w:rFonts w:cs="Arial"/>
                <w:sz w:val="20"/>
                <w:szCs w:val="20"/>
              </w:rPr>
              <w:lastRenderedPageBreak/>
              <w:t>to report a TE</w:t>
            </w:r>
            <w:r w:rsidRPr="008E2F0C">
              <w:rPr>
                <w:rFonts w:cs="Arial"/>
                <w:sz w:val="20"/>
                <w:szCs w:val="20"/>
              </w:rPr>
              <w:t>D as soon as they are aware of a concern, so a robust programme is put in place to support the trainee</w:t>
            </w:r>
          </w:p>
        </w:tc>
      </w:tr>
      <w:tr w:rsidR="00DE63DF" w:rsidRPr="008E2F0C" w:rsidTr="00DE13E2">
        <w:tc>
          <w:tcPr>
            <w:tcW w:w="2806" w:type="dxa"/>
            <w:shd w:val="clear" w:color="auto" w:fill="auto"/>
          </w:tcPr>
          <w:p w:rsidR="008E2F0C" w:rsidRPr="008E2F0C" w:rsidRDefault="00DE63DF" w:rsidP="008E2F0C">
            <w:pPr>
              <w:rPr>
                <w:rFonts w:cs="Arial"/>
                <w:b/>
                <w:sz w:val="20"/>
                <w:szCs w:val="20"/>
              </w:rPr>
            </w:pPr>
            <w:r w:rsidRPr="008E2F0C">
              <w:rPr>
                <w:rFonts w:cs="Arial"/>
                <w:b/>
                <w:sz w:val="20"/>
                <w:szCs w:val="20"/>
              </w:rPr>
              <w:lastRenderedPageBreak/>
              <w:t xml:space="preserve">Action </w:t>
            </w:r>
          </w:p>
          <w:p w:rsidR="00DE63DF" w:rsidRPr="008E2F0C" w:rsidRDefault="00DE63DF" w:rsidP="00DE13E2">
            <w:pPr>
              <w:rPr>
                <w:rFonts w:cs="Arial"/>
                <w:b/>
                <w:sz w:val="20"/>
                <w:szCs w:val="20"/>
              </w:rPr>
            </w:pPr>
          </w:p>
        </w:tc>
        <w:tc>
          <w:tcPr>
            <w:tcW w:w="6236" w:type="dxa"/>
            <w:shd w:val="clear" w:color="auto" w:fill="auto"/>
          </w:tcPr>
          <w:p w:rsidR="00DE63DF" w:rsidRPr="008E2F0C" w:rsidRDefault="008E2F0C" w:rsidP="00DE13E2">
            <w:pPr>
              <w:rPr>
                <w:rFonts w:cs="Arial"/>
                <w:sz w:val="20"/>
                <w:szCs w:val="20"/>
              </w:rPr>
            </w:pPr>
            <w:r w:rsidRPr="008E2F0C">
              <w:rPr>
                <w:rFonts w:cs="Arial"/>
                <w:sz w:val="20"/>
                <w:szCs w:val="20"/>
              </w:rPr>
              <w:t xml:space="preserve">ES should be reminded of their responsibilities and provided with training and support to complete reports concerning a potential </w:t>
            </w:r>
            <w:r w:rsidR="00565E8C">
              <w:rPr>
                <w:rFonts w:cs="Arial"/>
                <w:sz w:val="20"/>
                <w:szCs w:val="20"/>
              </w:rPr>
              <w:t>TE</w:t>
            </w:r>
            <w:r w:rsidRPr="008E2F0C">
              <w:rPr>
                <w:rFonts w:cs="Arial"/>
                <w:sz w:val="20"/>
                <w:szCs w:val="20"/>
              </w:rPr>
              <w:t>D.</w:t>
            </w:r>
          </w:p>
        </w:tc>
        <w:tc>
          <w:tcPr>
            <w:tcW w:w="1417" w:type="dxa"/>
            <w:shd w:val="clear" w:color="auto" w:fill="auto"/>
          </w:tcPr>
          <w:p w:rsidR="00DE63DF" w:rsidRPr="008E2F0C" w:rsidRDefault="00DE63DF" w:rsidP="00DE13E2">
            <w:pPr>
              <w:rPr>
                <w:rFonts w:cs="Arial"/>
                <w:b/>
                <w:color w:val="0000FF"/>
                <w:sz w:val="20"/>
                <w:szCs w:val="20"/>
              </w:rPr>
            </w:pPr>
            <w:r w:rsidRPr="008E2F0C">
              <w:rPr>
                <w:rFonts w:cs="Arial"/>
                <w:b/>
                <w:color w:val="0000FF"/>
                <w:sz w:val="20"/>
                <w:szCs w:val="20"/>
              </w:rPr>
              <w:t>Immediate</w:t>
            </w:r>
          </w:p>
          <w:p w:rsidR="00DE63DF" w:rsidRPr="008E2F0C" w:rsidRDefault="00DE63DF" w:rsidP="00DE13E2">
            <w:pPr>
              <w:rPr>
                <w:rFonts w:cs="Arial"/>
                <w:b/>
                <w:color w:val="0000FF"/>
                <w:sz w:val="20"/>
                <w:szCs w:val="20"/>
              </w:rPr>
            </w:pP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Evidence for Action</w:t>
            </w:r>
          </w:p>
          <w:p w:rsidR="00DE63DF" w:rsidRPr="008E2F0C" w:rsidRDefault="00DE63DF" w:rsidP="00DE13E2">
            <w:pPr>
              <w:rPr>
                <w:rFonts w:cs="Arial"/>
                <w:b/>
                <w:sz w:val="20"/>
                <w:szCs w:val="20"/>
              </w:rPr>
            </w:pPr>
          </w:p>
        </w:tc>
        <w:tc>
          <w:tcPr>
            <w:tcW w:w="6236" w:type="dxa"/>
            <w:shd w:val="clear" w:color="auto" w:fill="auto"/>
          </w:tcPr>
          <w:p w:rsidR="00DE63DF" w:rsidRPr="008E2F0C" w:rsidRDefault="00DE63DF" w:rsidP="00DE13E2">
            <w:pPr>
              <w:rPr>
                <w:rFonts w:cs="Arial"/>
                <w:sz w:val="20"/>
                <w:szCs w:val="20"/>
              </w:rPr>
            </w:pPr>
            <w:r w:rsidRPr="008E2F0C">
              <w:rPr>
                <w:rFonts w:cs="Arial"/>
                <w:sz w:val="20"/>
                <w:szCs w:val="20"/>
              </w:rPr>
              <w:t>Confirmation that this has taken place.</w:t>
            </w:r>
          </w:p>
        </w:tc>
        <w:tc>
          <w:tcPr>
            <w:tcW w:w="1417" w:type="dxa"/>
            <w:shd w:val="clear" w:color="auto" w:fill="auto"/>
          </w:tcPr>
          <w:p w:rsidR="00DE63DF" w:rsidRPr="008E2F0C" w:rsidRDefault="0013554F" w:rsidP="00DE13E2">
            <w:pPr>
              <w:rPr>
                <w:rFonts w:cs="Arial"/>
                <w:b/>
                <w:color w:val="0000FF"/>
                <w:sz w:val="20"/>
                <w:szCs w:val="20"/>
              </w:rPr>
            </w:pPr>
            <w:r>
              <w:rPr>
                <w:rFonts w:cs="Arial"/>
                <w:b/>
                <w:color w:val="0000FF"/>
                <w:sz w:val="20"/>
                <w:szCs w:val="20"/>
              </w:rPr>
              <w:t>January 2019</w:t>
            </w:r>
          </w:p>
        </w:tc>
      </w:tr>
      <w:tr w:rsidR="00DE63DF" w:rsidRPr="008E2F0C" w:rsidTr="00DE13E2">
        <w:tc>
          <w:tcPr>
            <w:tcW w:w="2806" w:type="dxa"/>
            <w:shd w:val="clear" w:color="auto" w:fill="auto"/>
          </w:tcPr>
          <w:p w:rsidR="008E2F0C" w:rsidRPr="008E2F0C" w:rsidRDefault="008E2F0C" w:rsidP="008E2F0C">
            <w:pPr>
              <w:rPr>
                <w:rFonts w:cs="Arial"/>
                <w:b/>
                <w:sz w:val="20"/>
                <w:szCs w:val="20"/>
              </w:rPr>
            </w:pPr>
            <w:r w:rsidRPr="008E2F0C">
              <w:rPr>
                <w:rFonts w:cs="Arial"/>
                <w:b/>
                <w:sz w:val="20"/>
                <w:szCs w:val="20"/>
              </w:rPr>
              <w:t>Evidence for Action</w:t>
            </w:r>
          </w:p>
          <w:p w:rsidR="00DE63DF" w:rsidRPr="008E2F0C" w:rsidRDefault="00DE63DF" w:rsidP="00DE13E2">
            <w:pPr>
              <w:rPr>
                <w:rFonts w:cs="Arial"/>
                <w:b/>
                <w:sz w:val="20"/>
                <w:szCs w:val="20"/>
              </w:rPr>
            </w:pPr>
          </w:p>
        </w:tc>
        <w:tc>
          <w:tcPr>
            <w:tcW w:w="6236" w:type="dxa"/>
            <w:shd w:val="clear" w:color="auto" w:fill="auto"/>
          </w:tcPr>
          <w:p w:rsidR="00DE63DF" w:rsidRPr="008E2F0C" w:rsidRDefault="008E2F0C" w:rsidP="00DE13E2">
            <w:pPr>
              <w:rPr>
                <w:rFonts w:cs="Arial"/>
                <w:sz w:val="20"/>
                <w:szCs w:val="20"/>
              </w:rPr>
            </w:pPr>
            <w:r w:rsidRPr="008E2F0C">
              <w:rPr>
                <w:rFonts w:cs="Arial"/>
                <w:sz w:val="20"/>
                <w:szCs w:val="20"/>
              </w:rPr>
              <w:t>Review Policy.</w:t>
            </w:r>
          </w:p>
        </w:tc>
        <w:tc>
          <w:tcPr>
            <w:tcW w:w="1417" w:type="dxa"/>
            <w:shd w:val="clear" w:color="auto" w:fill="auto"/>
          </w:tcPr>
          <w:p w:rsidR="00DE63DF" w:rsidRPr="008E2F0C" w:rsidRDefault="0013554F" w:rsidP="00DE13E2">
            <w:pPr>
              <w:rPr>
                <w:rFonts w:cs="Arial"/>
                <w:b/>
                <w:color w:val="0000FF"/>
                <w:sz w:val="20"/>
                <w:szCs w:val="20"/>
              </w:rPr>
            </w:pPr>
            <w:r>
              <w:rPr>
                <w:rFonts w:cs="Arial"/>
                <w:b/>
                <w:color w:val="0000FF"/>
                <w:sz w:val="20"/>
                <w:szCs w:val="20"/>
              </w:rPr>
              <w:t>March 2019</w:t>
            </w:r>
          </w:p>
        </w:tc>
      </w:tr>
      <w:tr w:rsidR="00DE63DF" w:rsidRPr="008E2F0C" w:rsidTr="008E2F0C">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RAG Rating</w:t>
            </w:r>
          </w:p>
        </w:tc>
        <w:tc>
          <w:tcPr>
            <w:tcW w:w="7653" w:type="dxa"/>
            <w:gridSpan w:val="2"/>
            <w:shd w:val="clear" w:color="auto" w:fill="FF0000"/>
          </w:tcPr>
          <w:p w:rsidR="00DE63DF" w:rsidRPr="008E2F0C" w:rsidRDefault="00DE63DF" w:rsidP="00DE13E2">
            <w:pPr>
              <w:rPr>
                <w:rFonts w:cs="Arial"/>
                <w:b/>
                <w:sz w:val="20"/>
                <w:szCs w:val="20"/>
              </w:rPr>
            </w:pPr>
            <w:r w:rsidRPr="008E2F0C">
              <w:rPr>
                <w:rFonts w:cs="Arial"/>
                <w:b/>
                <w:sz w:val="20"/>
                <w:szCs w:val="20"/>
              </w:rPr>
              <w:t>RED</w:t>
            </w:r>
          </w:p>
        </w:tc>
      </w:tr>
    </w:tbl>
    <w:p w:rsidR="00DE63DF" w:rsidRDefault="00DE63DF" w:rsidP="00DE63DF"/>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GMC Theme</w:t>
            </w:r>
          </w:p>
        </w:tc>
        <w:tc>
          <w:tcPr>
            <w:tcW w:w="7653" w:type="dxa"/>
            <w:gridSpan w:val="2"/>
            <w:shd w:val="clear" w:color="auto" w:fill="auto"/>
          </w:tcPr>
          <w:p w:rsidR="00DE63DF" w:rsidRPr="008E2F0C" w:rsidRDefault="00DE63DF" w:rsidP="00DE13E2">
            <w:pPr>
              <w:rPr>
                <w:rFonts w:cs="Arial"/>
                <w:sz w:val="20"/>
                <w:szCs w:val="20"/>
              </w:rPr>
            </w:pPr>
            <w:r w:rsidRPr="008E2F0C">
              <w:rPr>
                <w:rFonts w:cs="Arial"/>
                <w:b/>
                <w:sz w:val="20"/>
                <w:szCs w:val="20"/>
              </w:rPr>
              <w:t>LEARNING ENVIRONMENT AND CULTURE</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Requirement</w:t>
            </w:r>
          </w:p>
          <w:p w:rsidR="00DE63DF" w:rsidRPr="008E2F0C" w:rsidRDefault="00DE63DF" w:rsidP="00DE13E2">
            <w:pPr>
              <w:rPr>
                <w:rFonts w:cs="Arial"/>
                <w:b/>
                <w:sz w:val="20"/>
                <w:szCs w:val="20"/>
              </w:rPr>
            </w:pPr>
            <w:r w:rsidRPr="008E2F0C">
              <w:rPr>
                <w:rFonts w:cs="Arial"/>
                <w:b/>
                <w:color w:val="0000FF"/>
                <w:sz w:val="20"/>
                <w:szCs w:val="20"/>
              </w:rPr>
              <w:t>(R1.13 Induction)</w:t>
            </w:r>
          </w:p>
        </w:tc>
        <w:tc>
          <w:tcPr>
            <w:tcW w:w="7653" w:type="dxa"/>
            <w:gridSpan w:val="2"/>
            <w:shd w:val="clear" w:color="auto" w:fill="auto"/>
          </w:tcPr>
          <w:p w:rsidR="00DE63DF" w:rsidRPr="008E2F0C" w:rsidRDefault="006B3F7E" w:rsidP="00781430">
            <w:pPr>
              <w:jc w:val="both"/>
              <w:rPr>
                <w:rFonts w:cs="Arial"/>
                <w:sz w:val="20"/>
                <w:szCs w:val="20"/>
              </w:rPr>
            </w:pPr>
            <w:r w:rsidRPr="008E2F0C">
              <w:rPr>
                <w:rFonts w:cs="Arial"/>
                <w:sz w:val="20"/>
                <w:szCs w:val="20"/>
              </w:rPr>
              <w:t>Trainees to be provided with a s</w:t>
            </w:r>
            <w:r w:rsidR="009C46A4" w:rsidRPr="008E2F0C">
              <w:rPr>
                <w:rFonts w:cs="Arial"/>
                <w:sz w:val="20"/>
                <w:szCs w:val="20"/>
              </w:rPr>
              <w:t xml:space="preserve">chool </w:t>
            </w:r>
            <w:r w:rsidR="00DE63DF" w:rsidRPr="008E2F0C">
              <w:rPr>
                <w:rFonts w:cs="Arial"/>
                <w:sz w:val="20"/>
                <w:szCs w:val="20"/>
              </w:rPr>
              <w:t xml:space="preserve">induction </w:t>
            </w:r>
            <w:r w:rsidRPr="008E2F0C">
              <w:rPr>
                <w:rFonts w:cs="Arial"/>
                <w:sz w:val="20"/>
                <w:szCs w:val="20"/>
              </w:rPr>
              <w:t>that clearly set</w:t>
            </w:r>
            <w:r w:rsidR="00DE63DF" w:rsidRPr="008E2F0C">
              <w:rPr>
                <w:rFonts w:cs="Arial"/>
                <w:sz w:val="20"/>
                <w:szCs w:val="20"/>
              </w:rPr>
              <w:t xml:space="preserve"> out</w:t>
            </w:r>
            <w:r w:rsidRPr="008E2F0C">
              <w:rPr>
                <w:rFonts w:cs="Arial"/>
                <w:sz w:val="20"/>
                <w:szCs w:val="20"/>
              </w:rPr>
              <w:t xml:space="preserve"> who the key people are in the School, </w:t>
            </w:r>
            <w:r w:rsidR="00781430" w:rsidRPr="008E2F0C">
              <w:rPr>
                <w:rFonts w:cs="Arial"/>
                <w:sz w:val="20"/>
                <w:szCs w:val="20"/>
              </w:rPr>
              <w:t>as well as</w:t>
            </w:r>
            <w:r w:rsidRPr="008E2F0C">
              <w:rPr>
                <w:rFonts w:cs="Arial"/>
                <w:sz w:val="20"/>
                <w:szCs w:val="20"/>
              </w:rPr>
              <w:t xml:space="preserve"> information</w:t>
            </w:r>
            <w:r w:rsidR="00781430" w:rsidRPr="008E2F0C">
              <w:rPr>
                <w:rFonts w:cs="Arial"/>
                <w:sz w:val="20"/>
                <w:szCs w:val="20"/>
              </w:rPr>
              <w:t xml:space="preserve"> and guidance</w:t>
            </w:r>
            <w:r w:rsidRPr="008E2F0C">
              <w:rPr>
                <w:rFonts w:cs="Arial"/>
                <w:sz w:val="20"/>
                <w:szCs w:val="20"/>
              </w:rPr>
              <w:t xml:space="preserve"> about the school </w:t>
            </w:r>
            <w:r w:rsidR="00781430" w:rsidRPr="008E2F0C">
              <w:rPr>
                <w:rFonts w:cs="Arial"/>
                <w:sz w:val="20"/>
                <w:szCs w:val="20"/>
              </w:rPr>
              <w:t>in Y&amp;H.</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HEYH Condition Number</w:t>
            </w:r>
          </w:p>
        </w:tc>
        <w:tc>
          <w:tcPr>
            <w:tcW w:w="7653" w:type="dxa"/>
            <w:gridSpan w:val="2"/>
            <w:shd w:val="clear" w:color="auto" w:fill="auto"/>
          </w:tcPr>
          <w:p w:rsidR="00DE63DF" w:rsidRPr="008E2F0C" w:rsidRDefault="00507374" w:rsidP="00DE13E2">
            <w:pPr>
              <w:rPr>
                <w:rFonts w:cs="Arial"/>
                <w:sz w:val="20"/>
                <w:szCs w:val="20"/>
              </w:rPr>
            </w:pPr>
            <w:r>
              <w:rPr>
                <w:rFonts w:cs="Arial"/>
                <w:i/>
                <w:sz w:val="20"/>
                <w:szCs w:val="20"/>
                <w:lang w:eastAsia="en-GB"/>
              </w:rPr>
              <w:t>20181120_HEEYH_RQ3</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Specialty (Specialties)</w:t>
            </w:r>
          </w:p>
        </w:tc>
        <w:tc>
          <w:tcPr>
            <w:tcW w:w="7653" w:type="dxa"/>
            <w:gridSpan w:val="2"/>
            <w:shd w:val="clear" w:color="auto" w:fill="auto"/>
          </w:tcPr>
          <w:p w:rsidR="00DE63DF" w:rsidRPr="008E2F0C" w:rsidRDefault="009C46A4" w:rsidP="00DE13E2">
            <w:pPr>
              <w:rPr>
                <w:rFonts w:cs="Arial"/>
                <w:sz w:val="20"/>
                <w:szCs w:val="20"/>
              </w:rPr>
            </w:pPr>
            <w:r w:rsidRPr="008E2F0C">
              <w:rPr>
                <w:rFonts w:cs="Arial"/>
                <w:sz w:val="20"/>
                <w:szCs w:val="20"/>
              </w:rPr>
              <w:t>Paediatrics GRID</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Trainee Level</w:t>
            </w:r>
          </w:p>
        </w:tc>
        <w:tc>
          <w:tcPr>
            <w:tcW w:w="7653" w:type="dxa"/>
            <w:gridSpan w:val="2"/>
            <w:shd w:val="clear" w:color="auto" w:fill="auto"/>
          </w:tcPr>
          <w:p w:rsidR="00DE63DF" w:rsidRPr="008E2F0C" w:rsidRDefault="009C46A4" w:rsidP="00DE13E2">
            <w:pPr>
              <w:rPr>
                <w:rFonts w:cs="Arial"/>
                <w:sz w:val="20"/>
                <w:szCs w:val="20"/>
              </w:rPr>
            </w:pPr>
            <w:r w:rsidRPr="008E2F0C">
              <w:rPr>
                <w:rFonts w:cs="Arial"/>
                <w:sz w:val="20"/>
                <w:szCs w:val="20"/>
              </w:rPr>
              <w:t>Higher</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Concern</w:t>
            </w:r>
            <w:r w:rsidR="009C46A4" w:rsidRPr="008E2F0C">
              <w:rPr>
                <w:rFonts w:cs="Arial"/>
                <w:b/>
                <w:sz w:val="20"/>
                <w:szCs w:val="20"/>
              </w:rPr>
              <w:t xml:space="preserve"> 1</w:t>
            </w:r>
          </w:p>
          <w:p w:rsidR="00DE63DF" w:rsidRPr="008E2F0C" w:rsidRDefault="00DE63DF" w:rsidP="00DE13E2">
            <w:pPr>
              <w:rPr>
                <w:rFonts w:cs="Arial"/>
                <w:sz w:val="20"/>
                <w:szCs w:val="20"/>
              </w:rPr>
            </w:pPr>
          </w:p>
        </w:tc>
        <w:tc>
          <w:tcPr>
            <w:tcW w:w="7653" w:type="dxa"/>
            <w:gridSpan w:val="2"/>
            <w:shd w:val="clear" w:color="auto" w:fill="auto"/>
          </w:tcPr>
          <w:p w:rsidR="00DE63DF" w:rsidRPr="008E2F0C" w:rsidRDefault="00DE63DF" w:rsidP="00DE13E2">
            <w:pPr>
              <w:rPr>
                <w:rFonts w:cs="Arial"/>
                <w:sz w:val="20"/>
                <w:szCs w:val="20"/>
              </w:rPr>
            </w:pPr>
            <w:r w:rsidRPr="008E2F0C">
              <w:rPr>
                <w:rFonts w:cs="Arial"/>
                <w:sz w:val="20"/>
                <w:szCs w:val="20"/>
              </w:rPr>
              <w:t xml:space="preserve">Trainees are not provided with signposting to the School website at induction </w:t>
            </w:r>
          </w:p>
        </w:tc>
      </w:tr>
      <w:tr w:rsidR="006B3F7E" w:rsidRPr="008E2F0C" w:rsidTr="00DE13E2">
        <w:tc>
          <w:tcPr>
            <w:tcW w:w="2806" w:type="dxa"/>
            <w:shd w:val="clear" w:color="auto" w:fill="auto"/>
          </w:tcPr>
          <w:p w:rsidR="006B3F7E" w:rsidRPr="008E2F0C" w:rsidRDefault="006B3F7E" w:rsidP="006B3F7E">
            <w:pPr>
              <w:rPr>
                <w:rFonts w:cs="Arial"/>
                <w:b/>
                <w:sz w:val="20"/>
                <w:szCs w:val="20"/>
              </w:rPr>
            </w:pPr>
            <w:r w:rsidRPr="008E2F0C">
              <w:rPr>
                <w:rFonts w:cs="Arial"/>
                <w:b/>
                <w:sz w:val="20"/>
                <w:szCs w:val="20"/>
              </w:rPr>
              <w:t>Concern 2</w:t>
            </w:r>
          </w:p>
          <w:p w:rsidR="006B3F7E" w:rsidRPr="008E2F0C" w:rsidRDefault="006B3F7E" w:rsidP="00DE13E2">
            <w:pPr>
              <w:rPr>
                <w:rFonts w:cs="Arial"/>
                <w:b/>
                <w:sz w:val="20"/>
                <w:szCs w:val="20"/>
              </w:rPr>
            </w:pPr>
          </w:p>
        </w:tc>
        <w:tc>
          <w:tcPr>
            <w:tcW w:w="7653" w:type="dxa"/>
            <w:gridSpan w:val="2"/>
            <w:shd w:val="clear" w:color="auto" w:fill="auto"/>
          </w:tcPr>
          <w:p w:rsidR="006B3F7E" w:rsidRPr="008E2F0C" w:rsidRDefault="006B3F7E" w:rsidP="00DE13E2">
            <w:pPr>
              <w:rPr>
                <w:rFonts w:cs="Arial"/>
                <w:sz w:val="20"/>
                <w:szCs w:val="20"/>
              </w:rPr>
            </w:pPr>
            <w:r w:rsidRPr="008E2F0C">
              <w:rPr>
                <w:rFonts w:cs="Arial"/>
                <w:sz w:val="20"/>
                <w:szCs w:val="20"/>
              </w:rPr>
              <w:t>Trainees who fall outside of the generic induction are not provided with an induction by the School in a timely manner.</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Evidence for Concern</w:t>
            </w:r>
          </w:p>
        </w:tc>
        <w:tc>
          <w:tcPr>
            <w:tcW w:w="7653" w:type="dxa"/>
            <w:gridSpan w:val="2"/>
            <w:shd w:val="clear" w:color="auto" w:fill="auto"/>
          </w:tcPr>
          <w:p w:rsidR="001D1736" w:rsidRDefault="001D1736" w:rsidP="001D1736">
            <w:pPr>
              <w:rPr>
                <w:sz w:val="20"/>
                <w:szCs w:val="20"/>
              </w:rPr>
            </w:pPr>
            <w:r>
              <w:rPr>
                <w:sz w:val="20"/>
                <w:szCs w:val="20"/>
              </w:rPr>
              <w:t>Access to a timely school induction and access to school information was raised as a concern by trainees, specifically for those joining the programme from outside Y&amp;H as well as those returning to work</w:t>
            </w:r>
            <w:r w:rsidRPr="006B3F7E">
              <w:rPr>
                <w:sz w:val="20"/>
                <w:szCs w:val="20"/>
              </w:rPr>
              <w:t>. Some t</w:t>
            </w:r>
            <w:r>
              <w:rPr>
                <w:sz w:val="20"/>
                <w:szCs w:val="20"/>
              </w:rPr>
              <w:t>rainees reported that they d</w:t>
            </w:r>
            <w:r w:rsidRPr="006B3F7E">
              <w:rPr>
                <w:sz w:val="20"/>
                <w:szCs w:val="20"/>
              </w:rPr>
              <w:t>id</w:t>
            </w:r>
            <w:r>
              <w:rPr>
                <w:sz w:val="20"/>
                <w:szCs w:val="20"/>
              </w:rPr>
              <w:t xml:space="preserve"> no</w:t>
            </w:r>
            <w:r w:rsidRPr="006B3F7E">
              <w:rPr>
                <w:sz w:val="20"/>
                <w:szCs w:val="20"/>
              </w:rPr>
              <w:t>t know who the Dean or H</w:t>
            </w:r>
            <w:r>
              <w:rPr>
                <w:sz w:val="20"/>
                <w:szCs w:val="20"/>
              </w:rPr>
              <w:t>ead of School</w:t>
            </w:r>
            <w:r w:rsidRPr="006B3F7E">
              <w:rPr>
                <w:sz w:val="20"/>
                <w:szCs w:val="20"/>
              </w:rPr>
              <w:t xml:space="preserve"> were nor anything about the </w:t>
            </w:r>
            <w:r>
              <w:rPr>
                <w:sz w:val="20"/>
                <w:szCs w:val="20"/>
              </w:rPr>
              <w:t>S</w:t>
            </w:r>
            <w:r w:rsidRPr="006B3F7E">
              <w:rPr>
                <w:sz w:val="20"/>
                <w:szCs w:val="20"/>
              </w:rPr>
              <w:t>chool</w:t>
            </w:r>
            <w:r>
              <w:rPr>
                <w:sz w:val="20"/>
                <w:szCs w:val="20"/>
              </w:rPr>
              <w:t xml:space="preserve"> of Paediatrics</w:t>
            </w:r>
            <w:r w:rsidRPr="006B3F7E">
              <w:rPr>
                <w:sz w:val="20"/>
                <w:szCs w:val="20"/>
              </w:rPr>
              <w:t xml:space="preserve"> in Y&amp;H.</w:t>
            </w:r>
          </w:p>
          <w:p w:rsidR="00DE63DF" w:rsidRPr="008E2F0C" w:rsidRDefault="001D1736" w:rsidP="001D1736">
            <w:pPr>
              <w:rPr>
                <w:rFonts w:cs="Arial"/>
                <w:sz w:val="20"/>
                <w:szCs w:val="20"/>
              </w:rPr>
            </w:pPr>
            <w:r>
              <w:rPr>
                <w:sz w:val="20"/>
                <w:szCs w:val="20"/>
              </w:rPr>
              <w:t>Additionally, t</w:t>
            </w:r>
            <w:r w:rsidRPr="00966FEF">
              <w:rPr>
                <w:sz w:val="20"/>
                <w:szCs w:val="20"/>
              </w:rPr>
              <w:t xml:space="preserve">rainers and </w:t>
            </w:r>
            <w:r>
              <w:rPr>
                <w:sz w:val="20"/>
                <w:szCs w:val="20"/>
              </w:rPr>
              <w:t>t</w:t>
            </w:r>
            <w:r w:rsidRPr="00966FEF">
              <w:rPr>
                <w:sz w:val="20"/>
                <w:szCs w:val="20"/>
              </w:rPr>
              <w:t xml:space="preserve">rainees </w:t>
            </w:r>
            <w:r>
              <w:rPr>
                <w:sz w:val="20"/>
                <w:szCs w:val="20"/>
              </w:rPr>
              <w:t>felt that better signposting to the</w:t>
            </w:r>
            <w:r w:rsidRPr="00966FEF">
              <w:rPr>
                <w:sz w:val="20"/>
                <w:szCs w:val="20"/>
              </w:rPr>
              <w:t xml:space="preserve"> </w:t>
            </w:r>
            <w:r>
              <w:rPr>
                <w:sz w:val="20"/>
                <w:szCs w:val="20"/>
              </w:rPr>
              <w:t>S</w:t>
            </w:r>
            <w:r w:rsidRPr="00966FEF">
              <w:rPr>
                <w:sz w:val="20"/>
                <w:szCs w:val="20"/>
              </w:rPr>
              <w:t xml:space="preserve">chool website </w:t>
            </w:r>
            <w:r>
              <w:rPr>
                <w:sz w:val="20"/>
                <w:szCs w:val="20"/>
              </w:rPr>
              <w:t>would help to support the trainees when they begin placement.</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Action</w:t>
            </w:r>
            <w:r w:rsidR="009C46A4" w:rsidRPr="008E2F0C">
              <w:rPr>
                <w:rFonts w:cs="Arial"/>
                <w:b/>
                <w:sz w:val="20"/>
                <w:szCs w:val="20"/>
              </w:rPr>
              <w:t xml:space="preserve"> 1</w:t>
            </w:r>
          </w:p>
          <w:p w:rsidR="00DE63DF" w:rsidRPr="008E2F0C" w:rsidRDefault="00DE63DF" w:rsidP="00DE13E2">
            <w:pPr>
              <w:rPr>
                <w:rFonts w:cs="Arial"/>
                <w:sz w:val="20"/>
                <w:szCs w:val="20"/>
              </w:rPr>
            </w:pPr>
          </w:p>
        </w:tc>
        <w:tc>
          <w:tcPr>
            <w:tcW w:w="6236" w:type="dxa"/>
            <w:shd w:val="clear" w:color="auto" w:fill="auto"/>
          </w:tcPr>
          <w:p w:rsidR="00DE63DF" w:rsidRPr="008E2F0C" w:rsidRDefault="006B3F7E" w:rsidP="00DE13E2">
            <w:pPr>
              <w:rPr>
                <w:rFonts w:cs="Arial"/>
                <w:sz w:val="20"/>
                <w:szCs w:val="20"/>
              </w:rPr>
            </w:pPr>
            <w:r w:rsidRPr="008E2F0C">
              <w:rPr>
                <w:rFonts w:cs="Arial"/>
                <w:sz w:val="20"/>
                <w:szCs w:val="20"/>
              </w:rPr>
              <w:t>Provide all trainees with an appropriate school induction</w:t>
            </w:r>
          </w:p>
          <w:p w:rsidR="00DE63DF" w:rsidRPr="008E2F0C" w:rsidRDefault="00DE63DF" w:rsidP="00DE13E2">
            <w:pPr>
              <w:rPr>
                <w:rFonts w:cs="Arial"/>
                <w:sz w:val="20"/>
                <w:szCs w:val="20"/>
              </w:rPr>
            </w:pPr>
          </w:p>
        </w:tc>
        <w:tc>
          <w:tcPr>
            <w:tcW w:w="1417" w:type="dxa"/>
            <w:shd w:val="clear" w:color="auto" w:fill="auto"/>
          </w:tcPr>
          <w:p w:rsidR="00DE63DF" w:rsidRPr="008E2F0C" w:rsidRDefault="006B3F7E" w:rsidP="00DE13E2">
            <w:pPr>
              <w:rPr>
                <w:rFonts w:cs="Arial"/>
                <w:b/>
                <w:color w:val="0000FF"/>
                <w:sz w:val="20"/>
                <w:szCs w:val="20"/>
              </w:rPr>
            </w:pPr>
            <w:r w:rsidRPr="008E2F0C">
              <w:rPr>
                <w:rFonts w:cs="Arial"/>
                <w:b/>
                <w:color w:val="0000FF"/>
                <w:sz w:val="20"/>
                <w:szCs w:val="20"/>
              </w:rPr>
              <w:t>N</w:t>
            </w:r>
            <w:r w:rsidR="00DE63DF" w:rsidRPr="008E2F0C">
              <w:rPr>
                <w:rFonts w:cs="Arial"/>
                <w:b/>
                <w:color w:val="0000FF"/>
                <w:sz w:val="20"/>
                <w:szCs w:val="20"/>
              </w:rPr>
              <w:t>ext intake</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Action</w:t>
            </w:r>
            <w:r w:rsidR="009C46A4" w:rsidRPr="008E2F0C">
              <w:rPr>
                <w:rFonts w:cs="Arial"/>
                <w:b/>
                <w:sz w:val="20"/>
                <w:szCs w:val="20"/>
              </w:rPr>
              <w:t xml:space="preserve"> 2</w:t>
            </w:r>
          </w:p>
          <w:p w:rsidR="00DE63DF" w:rsidRPr="008E2F0C" w:rsidRDefault="00DE63DF" w:rsidP="00DE13E2">
            <w:pPr>
              <w:rPr>
                <w:rFonts w:cs="Arial"/>
                <w:sz w:val="20"/>
                <w:szCs w:val="20"/>
              </w:rPr>
            </w:pPr>
          </w:p>
        </w:tc>
        <w:tc>
          <w:tcPr>
            <w:tcW w:w="6236" w:type="dxa"/>
            <w:shd w:val="clear" w:color="auto" w:fill="auto"/>
          </w:tcPr>
          <w:p w:rsidR="00DE63DF" w:rsidRPr="008E2F0C" w:rsidRDefault="00DE63DF" w:rsidP="00DE13E2">
            <w:pPr>
              <w:rPr>
                <w:rFonts w:cs="Arial"/>
                <w:sz w:val="20"/>
                <w:szCs w:val="20"/>
              </w:rPr>
            </w:pPr>
            <w:r w:rsidRPr="008E2F0C">
              <w:rPr>
                <w:rFonts w:cs="Arial"/>
                <w:sz w:val="20"/>
                <w:szCs w:val="20"/>
              </w:rPr>
              <w:t>Provide trainees with easy access to essential guidelines and policies</w:t>
            </w:r>
            <w:r w:rsidR="006B3F7E" w:rsidRPr="008E2F0C">
              <w:rPr>
                <w:rFonts w:cs="Arial"/>
                <w:sz w:val="20"/>
                <w:szCs w:val="20"/>
              </w:rPr>
              <w:t xml:space="preserve"> via the school website</w:t>
            </w:r>
          </w:p>
        </w:tc>
        <w:tc>
          <w:tcPr>
            <w:tcW w:w="1417" w:type="dxa"/>
            <w:shd w:val="clear" w:color="auto" w:fill="auto"/>
          </w:tcPr>
          <w:p w:rsidR="00DE63DF" w:rsidRPr="008E2F0C" w:rsidRDefault="00DE63DF" w:rsidP="00DE13E2">
            <w:pPr>
              <w:rPr>
                <w:rFonts w:cs="Arial"/>
                <w:b/>
                <w:color w:val="0000FF"/>
                <w:sz w:val="20"/>
                <w:szCs w:val="20"/>
              </w:rPr>
            </w:pPr>
            <w:r w:rsidRPr="008E2F0C">
              <w:rPr>
                <w:rFonts w:cs="Arial"/>
                <w:b/>
                <w:color w:val="0000FF"/>
                <w:sz w:val="20"/>
                <w:szCs w:val="20"/>
              </w:rPr>
              <w:t>Next intake</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Evidence for Action</w:t>
            </w:r>
            <w:r w:rsidR="009C46A4" w:rsidRPr="008E2F0C">
              <w:rPr>
                <w:rFonts w:cs="Arial"/>
                <w:b/>
                <w:sz w:val="20"/>
                <w:szCs w:val="20"/>
              </w:rPr>
              <w:t xml:space="preserve"> 1</w:t>
            </w:r>
          </w:p>
          <w:p w:rsidR="00DE63DF" w:rsidRPr="008E2F0C" w:rsidRDefault="00DE63DF" w:rsidP="00DE13E2">
            <w:pPr>
              <w:rPr>
                <w:rFonts w:cs="Arial"/>
                <w:sz w:val="20"/>
                <w:szCs w:val="20"/>
              </w:rPr>
            </w:pPr>
          </w:p>
        </w:tc>
        <w:tc>
          <w:tcPr>
            <w:tcW w:w="6236" w:type="dxa"/>
            <w:shd w:val="clear" w:color="auto" w:fill="auto"/>
          </w:tcPr>
          <w:p w:rsidR="00DE63DF" w:rsidRPr="008E2F0C" w:rsidRDefault="00DE63DF" w:rsidP="00DE13E2">
            <w:pPr>
              <w:rPr>
                <w:rFonts w:cs="Arial"/>
                <w:sz w:val="20"/>
                <w:szCs w:val="20"/>
              </w:rPr>
            </w:pPr>
            <w:r w:rsidRPr="008E2F0C">
              <w:rPr>
                <w:rFonts w:cs="Arial"/>
                <w:sz w:val="20"/>
                <w:szCs w:val="20"/>
              </w:rPr>
              <w:t xml:space="preserve">Copy of induction </w:t>
            </w:r>
            <w:r w:rsidR="006B3F7E" w:rsidRPr="008E2F0C">
              <w:rPr>
                <w:rFonts w:cs="Arial"/>
                <w:sz w:val="20"/>
                <w:szCs w:val="20"/>
              </w:rPr>
              <w:t>timetable.</w:t>
            </w:r>
          </w:p>
        </w:tc>
        <w:tc>
          <w:tcPr>
            <w:tcW w:w="1417" w:type="dxa"/>
            <w:shd w:val="clear" w:color="auto" w:fill="auto"/>
          </w:tcPr>
          <w:p w:rsidR="00DE63DF" w:rsidRPr="008E2F0C" w:rsidRDefault="00DE63DF" w:rsidP="00DE13E2">
            <w:pPr>
              <w:rPr>
                <w:rFonts w:cs="Arial"/>
                <w:sz w:val="20"/>
                <w:szCs w:val="20"/>
              </w:rPr>
            </w:pPr>
            <w:r w:rsidRPr="008E2F0C">
              <w:rPr>
                <w:rFonts w:cs="Arial"/>
                <w:b/>
                <w:color w:val="0000FF"/>
                <w:sz w:val="20"/>
                <w:szCs w:val="20"/>
              </w:rPr>
              <w:t>Before next intake</w:t>
            </w:r>
          </w:p>
        </w:tc>
      </w:tr>
      <w:tr w:rsidR="00DE63DF" w:rsidRPr="008E2F0C" w:rsidTr="00DE13E2">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Evidence for Action</w:t>
            </w:r>
            <w:r w:rsidR="009C46A4" w:rsidRPr="008E2F0C">
              <w:rPr>
                <w:rFonts w:cs="Arial"/>
                <w:b/>
                <w:sz w:val="20"/>
                <w:szCs w:val="20"/>
              </w:rPr>
              <w:t xml:space="preserve"> 2</w:t>
            </w:r>
          </w:p>
          <w:p w:rsidR="00DE63DF" w:rsidRPr="008E2F0C" w:rsidRDefault="00DE63DF" w:rsidP="00DE13E2">
            <w:pPr>
              <w:rPr>
                <w:rFonts w:cs="Arial"/>
                <w:sz w:val="20"/>
                <w:szCs w:val="20"/>
              </w:rPr>
            </w:pPr>
          </w:p>
        </w:tc>
        <w:tc>
          <w:tcPr>
            <w:tcW w:w="6236" w:type="dxa"/>
            <w:shd w:val="clear" w:color="auto" w:fill="auto"/>
          </w:tcPr>
          <w:p w:rsidR="00DE63DF" w:rsidRPr="008E2F0C" w:rsidRDefault="00DE63DF" w:rsidP="00DE13E2">
            <w:pPr>
              <w:rPr>
                <w:rFonts w:cs="Arial"/>
                <w:sz w:val="20"/>
                <w:szCs w:val="20"/>
              </w:rPr>
            </w:pPr>
            <w:r w:rsidRPr="008E2F0C">
              <w:rPr>
                <w:rFonts w:cs="Arial"/>
                <w:sz w:val="20"/>
                <w:szCs w:val="20"/>
              </w:rPr>
              <w:t>Confirmation that trainees are provided with access to guidelines and policies</w:t>
            </w:r>
            <w:r w:rsidR="006B3F7E" w:rsidRPr="008E2F0C">
              <w:rPr>
                <w:rFonts w:cs="Arial"/>
                <w:sz w:val="20"/>
                <w:szCs w:val="20"/>
              </w:rPr>
              <w:t xml:space="preserve"> via the school website (Induction programme)</w:t>
            </w:r>
          </w:p>
        </w:tc>
        <w:tc>
          <w:tcPr>
            <w:tcW w:w="1417" w:type="dxa"/>
            <w:shd w:val="clear" w:color="auto" w:fill="auto"/>
          </w:tcPr>
          <w:p w:rsidR="00DE63DF" w:rsidRPr="008E2F0C" w:rsidRDefault="00DE63DF" w:rsidP="00DE13E2">
            <w:pPr>
              <w:rPr>
                <w:rFonts w:cs="Arial"/>
                <w:b/>
                <w:color w:val="0000FF"/>
                <w:sz w:val="20"/>
                <w:szCs w:val="20"/>
              </w:rPr>
            </w:pPr>
            <w:r w:rsidRPr="008E2F0C">
              <w:rPr>
                <w:rFonts w:cs="Arial"/>
                <w:b/>
                <w:color w:val="0000FF"/>
                <w:sz w:val="20"/>
                <w:szCs w:val="20"/>
              </w:rPr>
              <w:t>After next intake</w:t>
            </w:r>
          </w:p>
        </w:tc>
      </w:tr>
      <w:tr w:rsidR="00DE63DF" w:rsidRPr="008E2F0C" w:rsidTr="008E2F0C">
        <w:tc>
          <w:tcPr>
            <w:tcW w:w="2806" w:type="dxa"/>
            <w:shd w:val="clear" w:color="auto" w:fill="auto"/>
          </w:tcPr>
          <w:p w:rsidR="00DE63DF" w:rsidRPr="008E2F0C" w:rsidRDefault="00DE63DF" w:rsidP="00DE13E2">
            <w:pPr>
              <w:rPr>
                <w:rFonts w:cs="Arial"/>
                <w:b/>
                <w:sz w:val="20"/>
                <w:szCs w:val="20"/>
              </w:rPr>
            </w:pPr>
            <w:r w:rsidRPr="008E2F0C">
              <w:rPr>
                <w:rFonts w:cs="Arial"/>
                <w:b/>
                <w:sz w:val="20"/>
                <w:szCs w:val="20"/>
              </w:rPr>
              <w:t>RAG Rating</w:t>
            </w:r>
          </w:p>
        </w:tc>
        <w:tc>
          <w:tcPr>
            <w:tcW w:w="7653" w:type="dxa"/>
            <w:gridSpan w:val="2"/>
            <w:shd w:val="clear" w:color="auto" w:fill="FF0000"/>
          </w:tcPr>
          <w:p w:rsidR="00DE63DF" w:rsidRPr="008E2F0C" w:rsidRDefault="00DE63DF" w:rsidP="00DE13E2">
            <w:pPr>
              <w:rPr>
                <w:rFonts w:cs="Arial"/>
                <w:b/>
                <w:sz w:val="20"/>
                <w:szCs w:val="20"/>
              </w:rPr>
            </w:pPr>
            <w:r w:rsidRPr="008E2F0C">
              <w:rPr>
                <w:rFonts w:cs="Arial"/>
                <w:b/>
                <w:sz w:val="20"/>
                <w:szCs w:val="20"/>
              </w:rPr>
              <w:t>RED</w:t>
            </w:r>
          </w:p>
        </w:tc>
      </w:tr>
    </w:tbl>
    <w:p w:rsidR="00DE63DF" w:rsidRPr="00DE63DF" w:rsidRDefault="00DE63DF" w:rsidP="00DE63DF"/>
    <w:p w:rsidR="00BC644F" w:rsidRDefault="00F304E8" w:rsidP="00BC644F">
      <w:pPr>
        <w:pStyle w:val="Heading2"/>
      </w:pPr>
      <w:r>
        <w:t xml:space="preserve">Patient / </w:t>
      </w:r>
      <w:r w:rsidR="00BC644F">
        <w:t>learner safety concerns</w:t>
      </w:r>
      <w:bookmarkEnd w:id="6"/>
    </w:p>
    <w:p w:rsidR="00BC644F" w:rsidRPr="00F304E8" w:rsidRDefault="00BC644F" w:rsidP="00F304E8">
      <w:pPr>
        <w:jc w:val="both"/>
        <w:rPr>
          <w:i/>
          <w:sz w:val="22"/>
          <w:szCs w:val="22"/>
        </w:rPr>
      </w:pPr>
      <w:r w:rsidRPr="00F304E8">
        <w:rPr>
          <w:i/>
          <w:sz w:val="22"/>
          <w:szCs w:val="22"/>
        </w:rPr>
        <w:t xml:space="preserve">Any concerns listed will be monitored by the </w:t>
      </w:r>
      <w:r w:rsidR="00F304E8">
        <w:rPr>
          <w:i/>
          <w:sz w:val="22"/>
          <w:szCs w:val="22"/>
        </w:rPr>
        <w:t>o</w:t>
      </w:r>
      <w:r w:rsidRPr="00F304E8">
        <w:rPr>
          <w:i/>
          <w:sz w:val="22"/>
          <w:szCs w:val="22"/>
        </w:rPr>
        <w:t xml:space="preserve">rganisation. It is the </w:t>
      </w:r>
      <w:r w:rsidR="00F304E8">
        <w:rPr>
          <w:i/>
          <w:sz w:val="22"/>
          <w:szCs w:val="22"/>
        </w:rPr>
        <w:t>o</w:t>
      </w:r>
      <w:r w:rsidRPr="00F304E8">
        <w:rPr>
          <w:i/>
          <w:sz w:val="22"/>
          <w:szCs w:val="22"/>
        </w:rPr>
        <w:t>rganisation’s responsibility to investigate / resolve.</w:t>
      </w:r>
    </w:p>
    <w:p w:rsidR="00BC644F" w:rsidRPr="002C2753" w:rsidRDefault="00BC644F" w:rsidP="00BC644F">
      <w:pPr>
        <w:rPr>
          <w:i/>
        </w:rPr>
      </w:pPr>
    </w:p>
    <w:tbl>
      <w:tblPr>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875"/>
        <w:gridCol w:w="1293"/>
      </w:tblGrid>
      <w:tr w:rsidR="00BC644F" w:rsidRPr="00B706F9" w:rsidTr="001D1736">
        <w:trPr>
          <w:trHeight w:val="402"/>
        </w:trPr>
        <w:tc>
          <w:tcPr>
            <w:tcW w:w="4364" w:type="pct"/>
            <w:shd w:val="clear" w:color="auto" w:fill="C00000"/>
            <w:vAlign w:val="center"/>
          </w:tcPr>
          <w:p w:rsidR="00BC644F" w:rsidRPr="003A409C" w:rsidRDefault="00BC644F" w:rsidP="00853F0B">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Were any patient/learner</w:t>
            </w:r>
            <w:r w:rsidRPr="003A409C">
              <w:rPr>
                <w:rFonts w:ascii="Arial" w:hAnsi="Arial" w:cs="Arial"/>
                <w:b/>
                <w:color w:val="FFFFFF" w:themeColor="background1"/>
                <w:sz w:val="20"/>
                <w:szCs w:val="20"/>
              </w:rPr>
              <w:t xml:space="preserve"> safe</w:t>
            </w:r>
            <w:r>
              <w:rPr>
                <w:rFonts w:ascii="Arial" w:hAnsi="Arial" w:cs="Arial"/>
                <w:b/>
                <w:color w:val="FFFFFF" w:themeColor="background1"/>
                <w:sz w:val="20"/>
                <w:szCs w:val="20"/>
              </w:rPr>
              <w:t>ty concerns raised at this review</w:t>
            </w:r>
            <w:r w:rsidRPr="003A409C">
              <w:rPr>
                <w:rFonts w:ascii="Arial" w:hAnsi="Arial" w:cs="Arial"/>
                <w:b/>
                <w:color w:val="FFFFFF" w:themeColor="background1"/>
                <w:sz w:val="20"/>
                <w:szCs w:val="20"/>
              </w:rPr>
              <w:t xml:space="preserve">? </w:t>
            </w:r>
          </w:p>
        </w:tc>
        <w:tc>
          <w:tcPr>
            <w:tcW w:w="636" w:type="pct"/>
            <w:shd w:val="clear" w:color="auto" w:fill="auto"/>
            <w:vAlign w:val="center"/>
          </w:tcPr>
          <w:p w:rsidR="00BC644F" w:rsidRPr="002A41D9" w:rsidRDefault="00632218" w:rsidP="00853F0B">
            <w:pPr>
              <w:pStyle w:val="BodyTextIndent"/>
              <w:spacing w:after="40" w:line="240" w:lineRule="auto"/>
              <w:ind w:left="0"/>
              <w:jc w:val="center"/>
              <w:rPr>
                <w:rFonts w:ascii="Arial" w:hAnsi="Arial" w:cs="Arial"/>
                <w:b/>
                <w:sz w:val="20"/>
                <w:szCs w:val="20"/>
              </w:rPr>
            </w:pPr>
            <w:r>
              <w:rPr>
                <w:rFonts w:ascii="Arial" w:hAnsi="Arial" w:cs="Arial"/>
                <w:b/>
                <w:sz w:val="20"/>
                <w:szCs w:val="20"/>
              </w:rPr>
              <w:t>NO</w:t>
            </w:r>
          </w:p>
        </w:tc>
      </w:tr>
      <w:tr w:rsidR="00BC644F" w:rsidRPr="00B706F9" w:rsidTr="001D1736">
        <w:trPr>
          <w:trHeight w:val="402"/>
        </w:trPr>
        <w:tc>
          <w:tcPr>
            <w:tcW w:w="5000" w:type="pct"/>
            <w:gridSpan w:val="2"/>
            <w:shd w:val="clear" w:color="auto" w:fill="C00000"/>
            <w:vAlign w:val="center"/>
          </w:tcPr>
          <w:p w:rsidR="00BC644F" w:rsidRPr="003A409C" w:rsidRDefault="00BC644F" w:rsidP="00F304E8">
            <w:pPr>
              <w:pStyle w:val="BodyTextIndent"/>
              <w:spacing w:after="40"/>
              <w:ind w:left="0"/>
              <w:rPr>
                <w:rFonts w:ascii="Arial" w:hAnsi="Arial" w:cs="Arial"/>
                <w:i/>
                <w:color w:val="FFFFFF" w:themeColor="background1"/>
                <w:sz w:val="20"/>
                <w:szCs w:val="20"/>
              </w:rPr>
            </w:pPr>
            <w:r w:rsidRPr="003A409C">
              <w:rPr>
                <w:rFonts w:ascii="Arial" w:hAnsi="Arial" w:cs="Arial"/>
                <w:b/>
                <w:color w:val="FFFFFF" w:themeColor="background1"/>
                <w:sz w:val="20"/>
                <w:szCs w:val="20"/>
              </w:rPr>
              <w:t>To who</w:t>
            </w:r>
            <w:r>
              <w:rPr>
                <w:rFonts w:ascii="Arial" w:hAnsi="Arial" w:cs="Arial"/>
                <w:b/>
                <w:color w:val="FFFFFF" w:themeColor="background1"/>
                <w:sz w:val="20"/>
                <w:szCs w:val="20"/>
              </w:rPr>
              <w:t xml:space="preserve">m was this fed back at the </w:t>
            </w:r>
            <w:r w:rsidR="00F304E8">
              <w:rPr>
                <w:rFonts w:ascii="Arial" w:hAnsi="Arial" w:cs="Arial"/>
                <w:b/>
                <w:color w:val="FFFFFF" w:themeColor="background1"/>
                <w:sz w:val="20"/>
                <w:szCs w:val="20"/>
              </w:rPr>
              <w:t>o</w:t>
            </w:r>
            <w:r>
              <w:rPr>
                <w:rFonts w:ascii="Arial" w:hAnsi="Arial" w:cs="Arial"/>
                <w:b/>
                <w:color w:val="FFFFFF" w:themeColor="background1"/>
                <w:sz w:val="20"/>
                <w:szCs w:val="20"/>
              </w:rPr>
              <w:t>rganisation</w:t>
            </w:r>
            <w:r w:rsidRPr="003A409C">
              <w:rPr>
                <w:rFonts w:ascii="Arial" w:hAnsi="Arial" w:cs="Arial"/>
                <w:b/>
                <w:color w:val="FFFFFF" w:themeColor="background1"/>
                <w:sz w:val="20"/>
                <w:szCs w:val="20"/>
              </w:rPr>
              <w:t>, and who has undertaken to action?</w:t>
            </w:r>
          </w:p>
        </w:tc>
      </w:tr>
      <w:tr w:rsidR="00F304E8" w:rsidRPr="00B706F9" w:rsidTr="001D1736">
        <w:trPr>
          <w:trHeight w:val="402"/>
        </w:trPr>
        <w:tc>
          <w:tcPr>
            <w:tcW w:w="5000" w:type="pct"/>
            <w:gridSpan w:val="2"/>
            <w:shd w:val="clear" w:color="auto" w:fill="auto"/>
            <w:vAlign w:val="center"/>
          </w:tcPr>
          <w:p w:rsidR="00F304E8" w:rsidRPr="003F63C2" w:rsidRDefault="00F304E8" w:rsidP="00585F52">
            <w:pPr>
              <w:rPr>
                <w:rFonts w:cs="Arial"/>
                <w:sz w:val="20"/>
                <w:szCs w:val="20"/>
              </w:rPr>
            </w:pPr>
          </w:p>
        </w:tc>
      </w:tr>
      <w:tr w:rsidR="00F304E8" w:rsidRPr="00B706F9" w:rsidTr="001D1736">
        <w:trPr>
          <w:trHeight w:val="402"/>
        </w:trPr>
        <w:tc>
          <w:tcPr>
            <w:tcW w:w="5000" w:type="pct"/>
            <w:gridSpan w:val="2"/>
            <w:shd w:val="clear" w:color="auto" w:fill="C00000"/>
            <w:vAlign w:val="center"/>
          </w:tcPr>
          <w:p w:rsidR="00F304E8" w:rsidRPr="003A409C" w:rsidRDefault="00F304E8" w:rsidP="00F304E8">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Brief summary of concern</w:t>
            </w:r>
          </w:p>
        </w:tc>
      </w:tr>
      <w:tr w:rsidR="00BC644F" w:rsidRPr="00B706F9" w:rsidTr="001D1736">
        <w:trPr>
          <w:trHeight w:val="402"/>
        </w:trPr>
        <w:tc>
          <w:tcPr>
            <w:tcW w:w="5000" w:type="pct"/>
            <w:gridSpan w:val="2"/>
            <w:shd w:val="clear" w:color="auto" w:fill="auto"/>
            <w:vAlign w:val="center"/>
          </w:tcPr>
          <w:p w:rsidR="00F304E8" w:rsidRPr="00D923A7" w:rsidRDefault="00F304E8" w:rsidP="00A95F24">
            <w:pPr>
              <w:pStyle w:val="BodyTextIndent"/>
              <w:spacing w:after="40"/>
              <w:ind w:left="0"/>
              <w:rPr>
                <w:rFonts w:ascii="Arial" w:hAnsi="Arial" w:cs="Arial"/>
                <w:sz w:val="20"/>
                <w:szCs w:val="20"/>
              </w:rPr>
            </w:pPr>
          </w:p>
        </w:tc>
      </w:tr>
    </w:tbl>
    <w:p w:rsidR="00BC644F" w:rsidRDefault="00BC644F" w:rsidP="00BC644F">
      <w:pPr>
        <w:rPr>
          <w:rFonts w:eastAsia="MS Gothic"/>
          <w:b/>
          <w:bCs/>
          <w:color w:val="003893"/>
          <w:sz w:val="28"/>
          <w:szCs w:val="28"/>
        </w:rPr>
      </w:pPr>
    </w:p>
    <w:p w:rsidR="00F304E8" w:rsidRDefault="00F304E8" w:rsidP="00BC644F">
      <w:pPr>
        <w:rPr>
          <w:rFonts w:eastAsia="MS Gothic"/>
          <w:b/>
          <w:bCs/>
          <w:color w:val="003893"/>
          <w:sz w:val="28"/>
          <w:szCs w:val="28"/>
        </w:rPr>
      </w:pPr>
    </w:p>
    <w:p w:rsidR="00BC644F" w:rsidRDefault="00BC644F" w:rsidP="00BC644F">
      <w:pPr>
        <w:pStyle w:val="Heading2"/>
      </w:pPr>
      <w:r>
        <w:t xml:space="preserve">Educational </w:t>
      </w:r>
      <w:r w:rsidR="00F304E8">
        <w:t>r</w:t>
      </w:r>
      <w:r>
        <w:t>equirements</w:t>
      </w:r>
    </w:p>
    <w:p w:rsidR="00BC644F" w:rsidRDefault="00BC644F" w:rsidP="00BC644F">
      <w:pPr>
        <w:rPr>
          <w:rFonts w:cs="Arial"/>
          <w:i/>
          <w:sz w:val="22"/>
          <w:szCs w:val="22"/>
        </w:rPr>
      </w:pPr>
      <w:r w:rsidRPr="00061B03">
        <w:rPr>
          <w:rFonts w:cs="Arial"/>
          <w:i/>
          <w:sz w:val="22"/>
          <w:szCs w:val="22"/>
        </w:rPr>
        <w:t xml:space="preserve">Requirements are set where </w:t>
      </w:r>
      <w:r>
        <w:rPr>
          <w:rFonts w:cs="Arial"/>
          <w:i/>
          <w:sz w:val="22"/>
          <w:szCs w:val="22"/>
        </w:rPr>
        <w:t xml:space="preserve">HEE </w:t>
      </w:r>
      <w:r w:rsidRPr="00061B03">
        <w:rPr>
          <w:rFonts w:cs="Arial"/>
          <w:i/>
          <w:sz w:val="22"/>
          <w:szCs w:val="22"/>
        </w:rPr>
        <w:t xml:space="preserve">have found that </w:t>
      </w:r>
      <w:r>
        <w:rPr>
          <w:rFonts w:cs="Arial"/>
          <w:i/>
          <w:sz w:val="22"/>
          <w:szCs w:val="22"/>
        </w:rPr>
        <w:t xml:space="preserve">standards </w:t>
      </w:r>
      <w:r w:rsidRPr="00061B03">
        <w:rPr>
          <w:rFonts w:cs="Arial"/>
          <w:i/>
          <w:sz w:val="22"/>
          <w:szCs w:val="22"/>
        </w:rPr>
        <w:t xml:space="preserve">are not being </w:t>
      </w:r>
      <w:r w:rsidR="00F304E8" w:rsidRPr="00061B03">
        <w:rPr>
          <w:rFonts w:cs="Arial"/>
          <w:i/>
          <w:sz w:val="22"/>
          <w:szCs w:val="22"/>
        </w:rPr>
        <w:t>met</w:t>
      </w:r>
      <w:r w:rsidR="00F304E8">
        <w:rPr>
          <w:rFonts w:cs="Arial"/>
          <w:i/>
          <w:sz w:val="22"/>
          <w:szCs w:val="22"/>
        </w:rPr>
        <w:t>;</w:t>
      </w:r>
      <w:r>
        <w:rPr>
          <w:rFonts w:cs="Arial"/>
          <w:i/>
          <w:sz w:val="22"/>
          <w:szCs w:val="22"/>
        </w:rPr>
        <w:t xml:space="preserve"> a requirement is an action that is compulsory</w:t>
      </w:r>
      <w:r w:rsidR="00F304E8">
        <w:rPr>
          <w:rFonts w:cs="Arial"/>
          <w:i/>
          <w:sz w:val="22"/>
          <w:szCs w:val="22"/>
        </w:rPr>
        <w:t>.</w:t>
      </w:r>
    </w:p>
    <w:p w:rsidR="00E547EA" w:rsidRDefault="00E547EA" w:rsidP="00BC644F">
      <w:pPr>
        <w:rPr>
          <w:rFonts w:cs="Arial"/>
          <w:i/>
          <w:sz w:val="22"/>
          <w:szCs w:val="22"/>
        </w:rPr>
      </w:pPr>
    </w:p>
    <w:p w:rsidR="00BC644F" w:rsidRPr="00E2631D" w:rsidRDefault="00BC644F" w:rsidP="00E547EA">
      <w:pPr>
        <w:spacing w:after="120"/>
        <w:rPr>
          <w:rFonts w:cs="Arial"/>
          <w:i/>
          <w:color w:val="FF0000"/>
          <w:sz w:val="20"/>
          <w:szCs w:val="20"/>
        </w:rPr>
      </w:pPr>
    </w:p>
    <w:p w:rsidR="004F0492" w:rsidRDefault="004F0492" w:rsidP="004F0492"/>
    <w:p w:rsidR="00703003" w:rsidRPr="004F0492" w:rsidRDefault="00703003" w:rsidP="004F0492"/>
    <w:p w:rsidR="00E628D8" w:rsidRDefault="00E628D8" w:rsidP="00E628D8"/>
    <w:p w:rsidR="00E628D8" w:rsidRDefault="00E628D8" w:rsidP="00E628D8"/>
    <w:p w:rsidR="00BC644F" w:rsidRDefault="00E547EA" w:rsidP="00BC644F">
      <w:pPr>
        <w:pStyle w:val="Heading2"/>
      </w:pPr>
      <w:r>
        <w:t>Good p</w:t>
      </w:r>
      <w:r w:rsidR="00BC644F">
        <w:t>ractice</w:t>
      </w:r>
    </w:p>
    <w:p w:rsidR="00BC644F" w:rsidRDefault="00BC644F" w:rsidP="00CD2EEF">
      <w:pPr>
        <w:jc w:val="both"/>
        <w:rPr>
          <w:rFonts w:cs="Arial"/>
          <w:i/>
          <w:sz w:val="22"/>
          <w:szCs w:val="22"/>
        </w:rPr>
      </w:pPr>
      <w:r>
        <w:rPr>
          <w:rFonts w:cs="Arial"/>
          <w:i/>
          <w:sz w:val="22"/>
          <w:szCs w:val="22"/>
        </w:rPr>
        <w:t xml:space="preserve">Good practice </w:t>
      </w:r>
      <w:r w:rsidRPr="00061B03">
        <w:rPr>
          <w:rFonts w:cs="Arial"/>
          <w:i/>
          <w:sz w:val="22"/>
          <w:szCs w:val="22"/>
        </w:rPr>
        <w:t>is used as a phrase to incorporate educational or patient care initiatives that are worthy of wider dissemination, deliver the very highest standards of education and training or are innovative solutions to previously identified issues worthy of wider consideration.</w:t>
      </w:r>
    </w:p>
    <w:p w:rsidR="00BC644F" w:rsidRDefault="00BC644F" w:rsidP="00BC644F"/>
    <w:tbl>
      <w:tblPr>
        <w:tblW w:w="4764" w:type="pct"/>
        <w:tblInd w:w="108" w:type="dxa"/>
        <w:tblBorders>
          <w:top w:val="single" w:sz="12" w:space="0" w:color="00B050"/>
          <w:left w:val="single" w:sz="12" w:space="0" w:color="00B050"/>
          <w:bottom w:val="single" w:sz="12" w:space="0" w:color="00B050"/>
          <w:right w:val="single" w:sz="12" w:space="0" w:color="00B050"/>
          <w:insideH w:val="single" w:sz="4" w:space="0" w:color="00B050"/>
          <w:insideV w:val="single" w:sz="4" w:space="0" w:color="00B050"/>
        </w:tblBorders>
        <w:tblLook w:val="04A0" w:firstRow="1" w:lastRow="0" w:firstColumn="1" w:lastColumn="0" w:noHBand="0" w:noVBand="1"/>
      </w:tblPr>
      <w:tblGrid>
        <w:gridCol w:w="1938"/>
        <w:gridCol w:w="6365"/>
        <w:gridCol w:w="1385"/>
      </w:tblGrid>
      <w:tr w:rsidR="00E27E84" w:rsidRPr="00EB7AC2" w:rsidTr="00853F0B">
        <w:trPr>
          <w:cantSplit/>
          <w:trHeight w:val="397"/>
          <w:tblHeader/>
        </w:trPr>
        <w:tc>
          <w:tcPr>
            <w:tcW w:w="1000" w:type="pct"/>
            <w:shd w:val="clear" w:color="auto" w:fill="00B050"/>
            <w:vAlign w:val="center"/>
          </w:tcPr>
          <w:p w:rsidR="00E27E84" w:rsidRPr="00F31C97" w:rsidRDefault="00E27E84" w:rsidP="00853F0B">
            <w:pPr>
              <w:spacing w:before="40" w:after="40"/>
              <w:rPr>
                <w:b/>
                <w:color w:val="FFFFFF" w:themeColor="background1"/>
                <w:sz w:val="18"/>
                <w:szCs w:val="18"/>
              </w:rPr>
            </w:pPr>
            <w:r w:rsidRPr="00F31C97">
              <w:rPr>
                <w:b/>
                <w:color w:val="FFFFFF" w:themeColor="background1"/>
                <w:sz w:val="18"/>
                <w:szCs w:val="18"/>
              </w:rPr>
              <w:t xml:space="preserve">Learning environment / Prof. group / Dept. / Team </w:t>
            </w:r>
          </w:p>
        </w:tc>
        <w:tc>
          <w:tcPr>
            <w:tcW w:w="3285" w:type="pct"/>
            <w:shd w:val="clear" w:color="auto" w:fill="00B050"/>
            <w:vAlign w:val="center"/>
          </w:tcPr>
          <w:p w:rsidR="00E27E84" w:rsidRPr="00F31C97" w:rsidRDefault="00E27E84" w:rsidP="00853F0B">
            <w:pPr>
              <w:spacing w:before="40" w:after="40"/>
              <w:rPr>
                <w:b/>
                <w:color w:val="FFFFFF" w:themeColor="background1"/>
                <w:sz w:val="18"/>
                <w:szCs w:val="18"/>
              </w:rPr>
            </w:pPr>
            <w:r w:rsidRPr="00F31C97">
              <w:rPr>
                <w:b/>
                <w:color w:val="FFFFFF" w:themeColor="background1"/>
                <w:sz w:val="18"/>
                <w:szCs w:val="18"/>
              </w:rPr>
              <w:t>Good practice</w:t>
            </w:r>
          </w:p>
        </w:tc>
        <w:tc>
          <w:tcPr>
            <w:tcW w:w="715" w:type="pct"/>
            <w:shd w:val="clear" w:color="auto" w:fill="00B050"/>
            <w:vAlign w:val="center"/>
          </w:tcPr>
          <w:p w:rsidR="00E27E84" w:rsidRPr="00F31C97" w:rsidRDefault="00E27E84" w:rsidP="00853F0B">
            <w:pPr>
              <w:spacing w:before="40" w:after="40"/>
              <w:rPr>
                <w:b/>
                <w:color w:val="FFFFFF" w:themeColor="background1"/>
                <w:sz w:val="18"/>
                <w:szCs w:val="18"/>
              </w:rPr>
            </w:pPr>
            <w:r w:rsidRPr="00F31C97">
              <w:rPr>
                <w:b/>
                <w:color w:val="FFFFFF" w:themeColor="background1"/>
                <w:sz w:val="18"/>
                <w:szCs w:val="18"/>
              </w:rPr>
              <w:t xml:space="preserve">Related </w:t>
            </w:r>
            <w:r w:rsidR="002B6112">
              <w:rPr>
                <w:b/>
                <w:color w:val="FFFFFF" w:themeColor="background1"/>
                <w:sz w:val="18"/>
                <w:szCs w:val="18"/>
              </w:rPr>
              <w:t>Standard</w:t>
            </w:r>
            <w:r w:rsidRPr="00F31C97">
              <w:rPr>
                <w:b/>
                <w:color w:val="FFFFFF" w:themeColor="background1"/>
                <w:sz w:val="18"/>
                <w:szCs w:val="18"/>
              </w:rPr>
              <w:t xml:space="preserve">(s) </w:t>
            </w:r>
          </w:p>
        </w:tc>
      </w:tr>
      <w:tr w:rsidR="00855291" w:rsidRPr="00CD2EEF" w:rsidTr="00DE13E2">
        <w:trPr>
          <w:cantSplit/>
          <w:trHeight w:val="397"/>
        </w:trPr>
        <w:tc>
          <w:tcPr>
            <w:tcW w:w="1000" w:type="pct"/>
            <w:vAlign w:val="center"/>
          </w:tcPr>
          <w:p w:rsidR="00855291" w:rsidRPr="00CD2EEF" w:rsidRDefault="00855291" w:rsidP="00DE13E2">
            <w:pPr>
              <w:spacing w:before="40" w:after="40"/>
              <w:rPr>
                <w:sz w:val="20"/>
                <w:szCs w:val="20"/>
              </w:rPr>
            </w:pPr>
            <w:r>
              <w:rPr>
                <w:sz w:val="20"/>
                <w:szCs w:val="20"/>
              </w:rPr>
              <w:t>Palliative Care and Paediatric Oncology</w:t>
            </w:r>
          </w:p>
        </w:tc>
        <w:tc>
          <w:tcPr>
            <w:tcW w:w="3285" w:type="pct"/>
            <w:vAlign w:val="center"/>
          </w:tcPr>
          <w:p w:rsidR="00855291" w:rsidRPr="00CD2EEF" w:rsidRDefault="00855291" w:rsidP="00DE13E2">
            <w:pPr>
              <w:spacing w:before="40" w:after="40"/>
              <w:rPr>
                <w:sz w:val="20"/>
                <w:szCs w:val="20"/>
              </w:rPr>
            </w:pPr>
            <w:r>
              <w:rPr>
                <w:b/>
                <w:sz w:val="20"/>
                <w:szCs w:val="20"/>
              </w:rPr>
              <w:t>C</w:t>
            </w:r>
            <w:r w:rsidRPr="00855291">
              <w:rPr>
                <w:b/>
                <w:sz w:val="20"/>
                <w:szCs w:val="20"/>
              </w:rPr>
              <w:t>ollaborative working and networking</w:t>
            </w:r>
            <w:r>
              <w:rPr>
                <w:b/>
                <w:sz w:val="20"/>
                <w:szCs w:val="20"/>
              </w:rPr>
              <w:t xml:space="preserve"> -</w:t>
            </w:r>
            <w:r>
              <w:rPr>
                <w:sz w:val="20"/>
                <w:szCs w:val="20"/>
              </w:rPr>
              <w:t xml:space="preserve"> ESs reported that within Palliative Care trainees rotate around sites which gives them the opportunity to network and discuss cases. Similarly, Paediatric Oncology meet bi-annually to receive an introduction to the specialty and network.</w:t>
            </w:r>
          </w:p>
        </w:tc>
        <w:tc>
          <w:tcPr>
            <w:tcW w:w="715" w:type="pct"/>
          </w:tcPr>
          <w:p w:rsidR="00855291" w:rsidRPr="00CD2EEF" w:rsidRDefault="00855291" w:rsidP="00DE13E2">
            <w:pPr>
              <w:spacing w:before="40" w:after="40"/>
              <w:rPr>
                <w:sz w:val="20"/>
                <w:szCs w:val="20"/>
              </w:rPr>
            </w:pPr>
            <w:r>
              <w:rPr>
                <w:sz w:val="20"/>
                <w:szCs w:val="20"/>
              </w:rPr>
              <w:t>Standards 1 and 3</w:t>
            </w:r>
          </w:p>
        </w:tc>
      </w:tr>
      <w:tr w:rsidR="00855291" w:rsidRPr="00CD2EEF" w:rsidTr="00DE13E2">
        <w:trPr>
          <w:cantSplit/>
          <w:trHeight w:val="397"/>
        </w:trPr>
        <w:tc>
          <w:tcPr>
            <w:tcW w:w="1000" w:type="pct"/>
            <w:vAlign w:val="center"/>
          </w:tcPr>
          <w:p w:rsidR="00855291" w:rsidRDefault="00855291" w:rsidP="00DE13E2">
            <w:pPr>
              <w:spacing w:before="40" w:after="40"/>
              <w:rPr>
                <w:sz w:val="20"/>
                <w:szCs w:val="20"/>
              </w:rPr>
            </w:pPr>
            <w:r>
              <w:rPr>
                <w:sz w:val="20"/>
                <w:szCs w:val="20"/>
              </w:rPr>
              <w:t>Neurology at Sheffield Teaching Hospitals Trust</w:t>
            </w:r>
          </w:p>
        </w:tc>
        <w:tc>
          <w:tcPr>
            <w:tcW w:w="3285" w:type="pct"/>
            <w:vAlign w:val="center"/>
          </w:tcPr>
          <w:p w:rsidR="00855291" w:rsidRDefault="00855291" w:rsidP="00DE13E2">
            <w:pPr>
              <w:spacing w:before="40" w:after="40"/>
              <w:rPr>
                <w:b/>
                <w:sz w:val="20"/>
                <w:szCs w:val="20"/>
              </w:rPr>
            </w:pPr>
            <w:r w:rsidRPr="00855291">
              <w:rPr>
                <w:b/>
                <w:sz w:val="20"/>
                <w:szCs w:val="20"/>
              </w:rPr>
              <w:t>Educational Support</w:t>
            </w:r>
            <w:r>
              <w:rPr>
                <w:sz w:val="20"/>
                <w:szCs w:val="20"/>
              </w:rPr>
              <w:t xml:space="preserve"> - Neurology trainees at Sheffield Teaching Hospitals Trust reported that the</w:t>
            </w:r>
            <w:r w:rsidR="001D1736">
              <w:rPr>
                <w:sz w:val="20"/>
                <w:szCs w:val="20"/>
              </w:rPr>
              <w:t>y had departmental teaching in P</w:t>
            </w:r>
            <w:r>
              <w:rPr>
                <w:sz w:val="20"/>
                <w:szCs w:val="20"/>
              </w:rPr>
              <w:t>aediatrics and that they are supported by their Educational Supervisor and consultants are available when needed.</w:t>
            </w:r>
          </w:p>
        </w:tc>
        <w:tc>
          <w:tcPr>
            <w:tcW w:w="715" w:type="pct"/>
          </w:tcPr>
          <w:p w:rsidR="00855291" w:rsidRDefault="00855291" w:rsidP="00DE13E2">
            <w:pPr>
              <w:spacing w:before="40" w:after="40"/>
              <w:rPr>
                <w:sz w:val="20"/>
                <w:szCs w:val="20"/>
              </w:rPr>
            </w:pPr>
            <w:r>
              <w:rPr>
                <w:sz w:val="20"/>
                <w:szCs w:val="20"/>
              </w:rPr>
              <w:t>Standards 1 and 3</w:t>
            </w:r>
          </w:p>
        </w:tc>
      </w:tr>
    </w:tbl>
    <w:p w:rsidR="00E27E84" w:rsidRDefault="00E27E84" w:rsidP="00BC644F"/>
    <w:p w:rsidR="00BC644F" w:rsidRPr="00A66AF7" w:rsidRDefault="00BC644F" w:rsidP="00BC644F">
      <w:pPr>
        <w:rPr>
          <w:color w:val="FF0000"/>
        </w:rPr>
      </w:pPr>
    </w:p>
    <w:p w:rsidR="00855291" w:rsidRDefault="00BC644F" w:rsidP="00BC644F">
      <w:pPr>
        <w:rPr>
          <w:rFonts w:eastAsia="MS Gothic"/>
          <w:b/>
          <w:bCs/>
          <w:color w:val="003893"/>
          <w:sz w:val="28"/>
          <w:szCs w:val="28"/>
        </w:rPr>
      </w:pPr>
      <w:r>
        <w:br w:type="page"/>
      </w:r>
    </w:p>
    <w:p w:rsidR="00BC644F" w:rsidRDefault="00CD2EEF" w:rsidP="00CD2EEF">
      <w:pPr>
        <w:pStyle w:val="Heading1"/>
        <w:jc w:val="center"/>
      </w:pPr>
      <w:r>
        <w:lastRenderedPageBreak/>
        <w:t>Appendix 1:</w:t>
      </w:r>
      <w:r w:rsidR="00BC644F">
        <w:t xml:space="preserve"> HEE Quality Framework </w:t>
      </w:r>
      <w:r w:rsidR="002B6112">
        <w:t>Standard</w:t>
      </w:r>
      <w:r w:rsidR="00BC644F">
        <w:t xml:space="preserve">s </w:t>
      </w:r>
      <w:r>
        <w:t>&amp;</w:t>
      </w:r>
      <w:r w:rsidR="00BC644F">
        <w:t xml:space="preserve"> Standards</w:t>
      </w:r>
      <w:r w:rsidR="0016721E">
        <w:t xml:space="preserve"> </w:t>
      </w:r>
    </w:p>
    <w:tbl>
      <w:tblPr>
        <w:tblStyle w:val="TableGrid"/>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168"/>
      </w:tblGrid>
      <w:tr w:rsidR="005A50A0" w:rsidRPr="0016721E" w:rsidTr="0016721E">
        <w:trPr>
          <w:cantSplit/>
        </w:trPr>
        <w:tc>
          <w:tcPr>
            <w:tcW w:w="10414" w:type="dxa"/>
            <w:shd w:val="clear" w:color="auto" w:fill="0070C0"/>
          </w:tcPr>
          <w:p w:rsidR="005A50A0" w:rsidRPr="0016721E" w:rsidRDefault="002B6112" w:rsidP="0016721E">
            <w:pPr>
              <w:pStyle w:val="Heading2"/>
              <w:spacing w:before="40" w:after="40" w:afterAutospacing="0"/>
              <w:rPr>
                <w:rFonts w:cs="Arial"/>
                <w:sz w:val="24"/>
                <w:szCs w:val="24"/>
                <w:lang w:eastAsia="en-GB"/>
              </w:rPr>
            </w:pPr>
            <w:r>
              <w:rPr>
                <w:rFonts w:cs="Arial"/>
                <w:color w:val="FFFFFF" w:themeColor="background1"/>
                <w:sz w:val="24"/>
                <w:szCs w:val="24"/>
                <w:lang w:eastAsia="en-GB"/>
              </w:rPr>
              <w:t>Standard</w:t>
            </w:r>
            <w:r w:rsidR="005A50A0" w:rsidRPr="0016721E">
              <w:rPr>
                <w:rFonts w:cs="Arial"/>
                <w:color w:val="FFFFFF" w:themeColor="background1"/>
                <w:sz w:val="24"/>
                <w:szCs w:val="24"/>
                <w:lang w:eastAsia="en-GB"/>
              </w:rPr>
              <w:t xml:space="preserve"> 1 - Learning environment and culture</w:t>
            </w:r>
          </w:p>
        </w:tc>
      </w:tr>
      <w:tr w:rsidR="005A50A0" w:rsidRPr="0016721E" w:rsidTr="0016721E">
        <w:trPr>
          <w:cantSplit/>
        </w:trPr>
        <w:tc>
          <w:tcPr>
            <w:tcW w:w="10414" w:type="dxa"/>
          </w:tcPr>
          <w:p w:rsidR="005A50A0" w:rsidRPr="00D77FB6" w:rsidRDefault="00D77FB6" w:rsidP="009D07E1">
            <w:pPr>
              <w:pStyle w:val="ListParagraph"/>
              <w:numPr>
                <w:ilvl w:val="1"/>
                <w:numId w:val="3"/>
              </w:numPr>
            </w:pPr>
            <w:r w:rsidRPr="00D77FB6">
              <w:t>Learners are in an environment that delivers safe, effective, compassionate care that provides a positive experience for service users.</w:t>
            </w:r>
          </w:p>
          <w:p w:rsidR="00D77FB6" w:rsidRPr="00D77FB6" w:rsidRDefault="00D77FB6" w:rsidP="009D07E1">
            <w:pPr>
              <w:pStyle w:val="ListParagraph"/>
              <w:numPr>
                <w:ilvl w:val="1"/>
                <w:numId w:val="3"/>
              </w:numPr>
              <w:rPr>
                <w:lang w:eastAsia="en-GB"/>
              </w:rPr>
            </w:pPr>
            <w:r w:rsidRPr="000906E1">
              <w:t>The learning environment is one in which education and training is valued and learners are treated fairly, with d</w:t>
            </w:r>
            <w:r w:rsidRPr="00D77FB6">
              <w:t>ignity and respect, and are not subject to negative attitudes or behaviours</w:t>
            </w:r>
            <w:r>
              <w:t>.</w:t>
            </w:r>
          </w:p>
          <w:p w:rsidR="00D77FB6" w:rsidRPr="00D77FB6" w:rsidRDefault="00D77FB6" w:rsidP="009D07E1">
            <w:pPr>
              <w:pStyle w:val="ListParagraph"/>
              <w:numPr>
                <w:ilvl w:val="1"/>
                <w:numId w:val="3"/>
              </w:numPr>
              <w:rPr>
                <w:lang w:eastAsia="en-GB"/>
              </w:rPr>
            </w:pPr>
            <w:r w:rsidRPr="000906E1">
              <w:t>There are opportunities for learners to be involved in activities that facilitate quality improvement (QI), evidence based practice (EBP) and research and innovation (R&amp;I)</w:t>
            </w:r>
            <w:r>
              <w:t>.</w:t>
            </w:r>
          </w:p>
          <w:p w:rsidR="00D77FB6" w:rsidRPr="00D77FB6" w:rsidRDefault="00D77FB6" w:rsidP="009D07E1">
            <w:pPr>
              <w:pStyle w:val="ListParagraph"/>
              <w:numPr>
                <w:ilvl w:val="1"/>
                <w:numId w:val="3"/>
              </w:numPr>
              <w:rPr>
                <w:lang w:eastAsia="en-GB"/>
              </w:rPr>
            </w:pPr>
            <w:r w:rsidRPr="000906E1">
              <w:t>There are opportunities for learners to engage in reflective practice with service users, applying learning from both positive and negative experiences and outcomes</w:t>
            </w:r>
            <w:r>
              <w:t>.</w:t>
            </w:r>
          </w:p>
          <w:p w:rsidR="00D77FB6" w:rsidRPr="00D77FB6" w:rsidRDefault="00D77FB6" w:rsidP="009D07E1">
            <w:pPr>
              <w:pStyle w:val="ListParagraph"/>
              <w:numPr>
                <w:ilvl w:val="1"/>
                <w:numId w:val="3"/>
              </w:numPr>
              <w:rPr>
                <w:lang w:eastAsia="en-GB"/>
              </w:rPr>
            </w:pPr>
            <w:r w:rsidRPr="000906E1">
              <w:t>The learning environment provides suitable educational facilities for both learners and educators, including space, IT facilities and access to quality assured library and knowledge services</w:t>
            </w:r>
            <w:r>
              <w:t>.</w:t>
            </w:r>
          </w:p>
          <w:p w:rsidR="006D4858" w:rsidRPr="00D77FB6" w:rsidRDefault="00D77FB6" w:rsidP="00DC1F14">
            <w:pPr>
              <w:pStyle w:val="ListParagraph"/>
              <w:numPr>
                <w:ilvl w:val="1"/>
                <w:numId w:val="3"/>
              </w:numPr>
              <w:rPr>
                <w:lang w:eastAsia="en-GB"/>
              </w:rPr>
            </w:pPr>
            <w:r w:rsidRPr="000906E1">
              <w:t>The learning environment maximises inter-professional learning opportunities</w:t>
            </w:r>
            <w:r>
              <w:t>.</w:t>
            </w:r>
          </w:p>
        </w:tc>
      </w:tr>
      <w:tr w:rsidR="005A50A0" w:rsidRPr="0016721E" w:rsidTr="0016721E">
        <w:trPr>
          <w:cantSplit/>
        </w:trPr>
        <w:tc>
          <w:tcPr>
            <w:tcW w:w="10414" w:type="dxa"/>
            <w:shd w:val="clear" w:color="auto" w:fill="0070C0"/>
          </w:tcPr>
          <w:p w:rsidR="005A50A0" w:rsidRPr="0016721E" w:rsidRDefault="002B6112" w:rsidP="0016721E">
            <w:pPr>
              <w:pStyle w:val="Heading2"/>
              <w:spacing w:before="40" w:after="40" w:afterAutospacing="0"/>
              <w:rPr>
                <w:rFonts w:cs="Arial"/>
                <w:sz w:val="24"/>
                <w:szCs w:val="24"/>
              </w:rPr>
            </w:pPr>
            <w:r>
              <w:rPr>
                <w:rFonts w:cs="Arial"/>
                <w:color w:val="FFFFFF" w:themeColor="background1"/>
                <w:sz w:val="24"/>
                <w:szCs w:val="24"/>
              </w:rPr>
              <w:t>Standard</w:t>
            </w:r>
            <w:r w:rsidR="005A50A0" w:rsidRPr="0016721E">
              <w:rPr>
                <w:rFonts w:cs="Arial"/>
                <w:color w:val="FFFFFF" w:themeColor="background1"/>
                <w:sz w:val="24"/>
                <w:szCs w:val="24"/>
              </w:rPr>
              <w:t xml:space="preserve"> 2 – Educational governance and leadership</w:t>
            </w:r>
          </w:p>
        </w:tc>
      </w:tr>
      <w:tr w:rsidR="005A50A0" w:rsidRPr="0016721E" w:rsidTr="0016721E">
        <w:trPr>
          <w:cantSplit/>
        </w:trPr>
        <w:tc>
          <w:tcPr>
            <w:tcW w:w="10414" w:type="dxa"/>
          </w:tcPr>
          <w:p w:rsidR="00B96343" w:rsidRDefault="009D07E1" w:rsidP="00B96343">
            <w:pPr>
              <w:pStyle w:val="ListParagraph"/>
              <w:numPr>
                <w:ilvl w:val="1"/>
                <w:numId w:val="14"/>
              </w:numPr>
            </w:pPr>
            <w:r w:rsidRPr="00DC1F14">
              <w:t xml:space="preserve">The educational governance </w:t>
            </w:r>
            <w:r w:rsidR="0089418E" w:rsidRPr="00DC1F14">
              <w:t>arrangements measure performance against the quality standards and actively respond’s</w:t>
            </w:r>
            <w:r w:rsidRPr="00DC1F14">
              <w:t xml:space="preserve"> when standards are not being met</w:t>
            </w:r>
            <w:r w:rsidR="0089418E" w:rsidRPr="00DC1F14">
              <w:t>.</w:t>
            </w:r>
          </w:p>
          <w:p w:rsidR="00B96343" w:rsidRDefault="0089418E" w:rsidP="00B96343">
            <w:pPr>
              <w:pStyle w:val="ListParagraph"/>
              <w:numPr>
                <w:ilvl w:val="1"/>
                <w:numId w:val="14"/>
              </w:numPr>
            </w:pPr>
            <w:r w:rsidRPr="00DC1F14">
              <w:t>The educational leadership uses the educational governance arrangements to continuously improve the quality of education and training.</w:t>
            </w:r>
          </w:p>
          <w:p w:rsidR="00B96343" w:rsidRDefault="0089418E" w:rsidP="00B96343">
            <w:pPr>
              <w:pStyle w:val="ListParagraph"/>
              <w:numPr>
                <w:ilvl w:val="1"/>
                <w:numId w:val="14"/>
              </w:numPr>
            </w:pPr>
            <w:r w:rsidRPr="00DC1F14">
              <w:t>The educational leadership promotes team-working and a multi-professional approach to education and training, where appropriate.</w:t>
            </w:r>
          </w:p>
          <w:p w:rsidR="00B96343" w:rsidRDefault="0089418E" w:rsidP="00B96343">
            <w:pPr>
              <w:pStyle w:val="ListParagraph"/>
              <w:numPr>
                <w:ilvl w:val="1"/>
                <w:numId w:val="14"/>
              </w:numPr>
            </w:pPr>
            <w:r w:rsidRPr="00DC1F14">
              <w:t>Education and training opportunities are based on principles of equality and diversity.</w:t>
            </w:r>
          </w:p>
          <w:p w:rsidR="00DC1F14" w:rsidRPr="0017763C" w:rsidRDefault="0089418E" w:rsidP="00B96343">
            <w:pPr>
              <w:pStyle w:val="ListParagraph"/>
              <w:numPr>
                <w:ilvl w:val="1"/>
                <w:numId w:val="14"/>
              </w:numPr>
            </w:pPr>
            <w:r w:rsidRPr="00DC1F14">
              <w:t>There are processes in place to inform the appropriate stakeholders when performance issues with learners are identified or learners are involved in patient safety incidents</w:t>
            </w:r>
            <w:r w:rsidR="00DC1F14" w:rsidRPr="00DC1F14">
              <w:t>.</w:t>
            </w:r>
          </w:p>
        </w:tc>
      </w:tr>
      <w:tr w:rsidR="005A50A0" w:rsidRPr="0016721E" w:rsidTr="0016721E">
        <w:trPr>
          <w:cantSplit/>
        </w:trPr>
        <w:tc>
          <w:tcPr>
            <w:tcW w:w="10414" w:type="dxa"/>
            <w:shd w:val="clear" w:color="auto" w:fill="0070C0"/>
          </w:tcPr>
          <w:p w:rsidR="005A50A0" w:rsidRPr="0016721E" w:rsidRDefault="002B6112" w:rsidP="0016721E">
            <w:pPr>
              <w:pStyle w:val="Heading2"/>
              <w:spacing w:before="40" w:after="40" w:afterAutospacing="0"/>
              <w:rPr>
                <w:rFonts w:cs="Arial"/>
                <w:sz w:val="24"/>
                <w:szCs w:val="24"/>
                <w:lang w:eastAsia="en-GB"/>
              </w:rPr>
            </w:pPr>
            <w:r>
              <w:rPr>
                <w:rFonts w:cs="Arial"/>
                <w:color w:val="FFFFFF" w:themeColor="background1"/>
                <w:sz w:val="24"/>
                <w:szCs w:val="24"/>
                <w:lang w:eastAsia="en-GB"/>
              </w:rPr>
              <w:t>Standard</w:t>
            </w:r>
            <w:r w:rsidR="005A50A0" w:rsidRPr="0016721E">
              <w:rPr>
                <w:rFonts w:cs="Arial"/>
                <w:color w:val="FFFFFF" w:themeColor="background1"/>
                <w:sz w:val="24"/>
                <w:szCs w:val="24"/>
                <w:lang w:eastAsia="en-GB"/>
              </w:rPr>
              <w:t xml:space="preserve"> 3 – Supporting and empowering learners</w:t>
            </w:r>
          </w:p>
        </w:tc>
      </w:tr>
      <w:tr w:rsidR="005A50A0" w:rsidRPr="0016721E" w:rsidTr="0016721E">
        <w:trPr>
          <w:cantSplit/>
        </w:trPr>
        <w:tc>
          <w:tcPr>
            <w:tcW w:w="10414" w:type="dxa"/>
          </w:tcPr>
          <w:p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17763C">
              <w:rPr>
                <w:rFonts w:ascii="Arial" w:hAnsi="Arial" w:cs="Arial"/>
                <w:sz w:val="18"/>
                <w:szCs w:val="18"/>
              </w:rPr>
              <w:t>Learners receive educational and pastoral support to be able to demonstrate what is expected in their curriculum or professional standards to achieve the learning outcomes required.</w:t>
            </w:r>
          </w:p>
          <w:p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are supported to complete appropriate summative and formative assessments to evidence that they are meeting their curriculum, professional standards and / or learning outcomes.</w:t>
            </w:r>
          </w:p>
          <w:p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feel they are valued members of the healthcare team within which they are placed.</w:t>
            </w:r>
          </w:p>
          <w:p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receive an appropriate and timely induction into the learning environment.</w:t>
            </w:r>
          </w:p>
          <w:p w:rsidR="0017763C" w:rsidRP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understand their role and the context of their placement in relation to care pathways and patient journeys.</w:t>
            </w:r>
          </w:p>
        </w:tc>
      </w:tr>
      <w:tr w:rsidR="005A50A0" w:rsidRPr="0016721E" w:rsidTr="0016721E">
        <w:trPr>
          <w:cantSplit/>
        </w:trPr>
        <w:tc>
          <w:tcPr>
            <w:tcW w:w="10414" w:type="dxa"/>
            <w:shd w:val="clear" w:color="auto" w:fill="0070C0"/>
          </w:tcPr>
          <w:p w:rsidR="005A50A0" w:rsidRPr="0016721E" w:rsidRDefault="002B6112" w:rsidP="0016721E">
            <w:pPr>
              <w:pStyle w:val="Heading2"/>
              <w:spacing w:before="40" w:after="40" w:afterAutospacing="0"/>
              <w:rPr>
                <w:rFonts w:cs="Arial"/>
                <w:sz w:val="24"/>
                <w:szCs w:val="24"/>
                <w:lang w:eastAsia="en-GB"/>
              </w:rPr>
            </w:pPr>
            <w:r>
              <w:rPr>
                <w:rFonts w:cs="Arial"/>
                <w:color w:val="FFFFFF" w:themeColor="background1"/>
                <w:sz w:val="24"/>
                <w:szCs w:val="24"/>
                <w:lang w:eastAsia="en-GB"/>
              </w:rPr>
              <w:t>Standard</w:t>
            </w:r>
            <w:r w:rsidR="005A50A0" w:rsidRPr="0016721E">
              <w:rPr>
                <w:rFonts w:cs="Arial"/>
                <w:color w:val="FFFFFF" w:themeColor="background1"/>
                <w:sz w:val="24"/>
                <w:szCs w:val="24"/>
                <w:lang w:eastAsia="en-GB"/>
              </w:rPr>
              <w:t xml:space="preserve"> 4 – Supporting and empowering educators</w:t>
            </w:r>
          </w:p>
        </w:tc>
      </w:tr>
      <w:tr w:rsidR="005A50A0" w:rsidRPr="0016721E" w:rsidTr="0016721E">
        <w:trPr>
          <w:cantSplit/>
        </w:trPr>
        <w:tc>
          <w:tcPr>
            <w:tcW w:w="10414" w:type="dxa"/>
          </w:tcPr>
          <w:p w:rsidR="00B96343" w:rsidRDefault="0017763C" w:rsidP="0017763C">
            <w:pPr>
              <w:pStyle w:val="ListParagraph"/>
              <w:numPr>
                <w:ilvl w:val="1"/>
                <w:numId w:val="19"/>
              </w:numPr>
            </w:pPr>
            <w:r w:rsidRPr="00B96343">
              <w:t>Those undertaking formal education and training roles are appropriately trained as defined by the relevant regulator or professional body.</w:t>
            </w:r>
          </w:p>
          <w:p w:rsidR="00B96343" w:rsidRDefault="0017763C" w:rsidP="0017763C">
            <w:pPr>
              <w:pStyle w:val="ListParagraph"/>
              <w:numPr>
                <w:ilvl w:val="1"/>
                <w:numId w:val="19"/>
              </w:numPr>
            </w:pPr>
            <w:r w:rsidRPr="00B96343">
              <w:t>Educators are familiar with the curricula of the learners they are educating.</w:t>
            </w:r>
          </w:p>
          <w:p w:rsidR="00B96343" w:rsidRDefault="0017763C" w:rsidP="0017763C">
            <w:pPr>
              <w:pStyle w:val="ListParagraph"/>
              <w:numPr>
                <w:ilvl w:val="1"/>
                <w:numId w:val="19"/>
              </w:numPr>
            </w:pPr>
            <w:r w:rsidRPr="00B96343">
              <w:t>Educator performance is assessed through appraisals or other appropriate mechanisms, with constructive feedback and support provided for role development and progression.</w:t>
            </w:r>
          </w:p>
          <w:p w:rsidR="00B96343" w:rsidRDefault="0017763C" w:rsidP="0017763C">
            <w:pPr>
              <w:pStyle w:val="ListParagraph"/>
              <w:numPr>
                <w:ilvl w:val="1"/>
                <w:numId w:val="19"/>
              </w:numPr>
            </w:pPr>
            <w:r w:rsidRPr="00B96343">
              <w:t>Formally recognised educators are appropriately supported to undertake their roles.</w:t>
            </w:r>
          </w:p>
          <w:p w:rsidR="0017763C" w:rsidRPr="00B96343" w:rsidRDefault="0017763C" w:rsidP="0017763C">
            <w:pPr>
              <w:pStyle w:val="ListParagraph"/>
              <w:numPr>
                <w:ilvl w:val="1"/>
                <w:numId w:val="19"/>
              </w:numPr>
            </w:pPr>
            <w:r w:rsidRPr="00B96343">
              <w:t>Educators are supported to undertake formative and summative assessments of learners as required.</w:t>
            </w:r>
          </w:p>
        </w:tc>
      </w:tr>
      <w:tr w:rsidR="00FF78D4" w:rsidRPr="0016721E" w:rsidTr="0016721E">
        <w:trPr>
          <w:cantSplit/>
        </w:trPr>
        <w:tc>
          <w:tcPr>
            <w:tcW w:w="10414" w:type="dxa"/>
            <w:shd w:val="clear" w:color="auto" w:fill="0070C0"/>
          </w:tcPr>
          <w:p w:rsidR="00FF78D4" w:rsidRPr="0016721E" w:rsidRDefault="002B6112" w:rsidP="0017763C">
            <w:pPr>
              <w:pStyle w:val="GMCNumbertext"/>
              <w:numPr>
                <w:ilvl w:val="0"/>
                <w:numId w:val="0"/>
              </w:numPr>
              <w:tabs>
                <w:tab w:val="left" w:pos="3402"/>
                <w:tab w:val="left" w:pos="5670"/>
              </w:tabs>
              <w:spacing w:before="40" w:after="40" w:line="240" w:lineRule="auto"/>
              <w:jc w:val="both"/>
              <w:rPr>
                <w:rFonts w:ascii="Arial" w:hAnsi="Arial" w:cs="Arial"/>
                <w:b/>
                <w:bCs/>
                <w:color w:val="auto"/>
                <w:lang w:eastAsia="en-GB"/>
              </w:rPr>
            </w:pPr>
            <w:r>
              <w:rPr>
                <w:rFonts w:ascii="Arial" w:hAnsi="Arial" w:cs="Arial"/>
                <w:b/>
                <w:color w:val="FFFFFF" w:themeColor="background1"/>
              </w:rPr>
              <w:t>Standard</w:t>
            </w:r>
            <w:r w:rsidR="00FF78D4" w:rsidRPr="0016721E">
              <w:rPr>
                <w:rFonts w:ascii="Arial" w:hAnsi="Arial" w:cs="Arial"/>
                <w:b/>
                <w:color w:val="FFFFFF" w:themeColor="background1"/>
              </w:rPr>
              <w:t xml:space="preserve"> 5 – Developing and </w:t>
            </w:r>
            <w:r w:rsidR="0017763C">
              <w:rPr>
                <w:rFonts w:ascii="Arial" w:hAnsi="Arial" w:cs="Arial"/>
                <w:b/>
                <w:color w:val="FFFFFF" w:themeColor="background1"/>
              </w:rPr>
              <w:t>implemen</w:t>
            </w:r>
            <w:r w:rsidR="00FF78D4" w:rsidRPr="0016721E">
              <w:rPr>
                <w:rFonts w:ascii="Arial" w:hAnsi="Arial" w:cs="Arial"/>
                <w:b/>
                <w:color w:val="FFFFFF" w:themeColor="background1"/>
              </w:rPr>
              <w:t>ting curricula and assessments</w:t>
            </w:r>
          </w:p>
        </w:tc>
      </w:tr>
      <w:tr w:rsidR="00FF78D4" w:rsidRPr="0016721E" w:rsidTr="0016721E">
        <w:trPr>
          <w:cantSplit/>
        </w:trPr>
        <w:tc>
          <w:tcPr>
            <w:tcW w:w="10414" w:type="dxa"/>
            <w:shd w:val="clear" w:color="auto" w:fill="FFFFFF" w:themeFill="background1"/>
          </w:tcPr>
          <w:p w:rsidR="00B96343" w:rsidRDefault="0017763C" w:rsidP="00B96343">
            <w:pPr>
              <w:pStyle w:val="GMCNumbertext"/>
              <w:numPr>
                <w:ilvl w:val="1"/>
                <w:numId w:val="21"/>
              </w:numPr>
              <w:tabs>
                <w:tab w:val="left" w:pos="3402"/>
                <w:tab w:val="left" w:pos="5670"/>
              </w:tabs>
              <w:spacing w:before="40" w:after="0" w:line="240" w:lineRule="auto"/>
              <w:jc w:val="both"/>
              <w:rPr>
                <w:rFonts w:ascii="Arial" w:hAnsi="Arial" w:cs="Arial"/>
                <w:sz w:val="18"/>
                <w:szCs w:val="18"/>
              </w:rPr>
            </w:pPr>
            <w:r w:rsidRPr="0017763C">
              <w:rPr>
                <w:rFonts w:ascii="Arial" w:hAnsi="Arial" w:cs="Arial"/>
                <w:sz w:val="18"/>
                <w:szCs w:val="18"/>
              </w:rPr>
              <w:t>The planning and delivery of curricula, assessments and programmes enable learners to meet the learning outcomes required by their curriculum or required professional standards.</w:t>
            </w:r>
          </w:p>
          <w:p w:rsidR="00B96343" w:rsidRDefault="0017763C" w:rsidP="00B96343">
            <w:pPr>
              <w:pStyle w:val="GMCNumbertext"/>
              <w:numPr>
                <w:ilvl w:val="1"/>
                <w:numId w:val="21"/>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Placement providers shape the delivery of curricula, assessments and programmes to ensure the content is responsive to changes in treatments, technologies and care delivery models.</w:t>
            </w:r>
          </w:p>
          <w:p w:rsidR="0017763C" w:rsidRPr="00B96343" w:rsidRDefault="0017763C" w:rsidP="00B96343">
            <w:pPr>
              <w:pStyle w:val="GMCNumbertext"/>
              <w:numPr>
                <w:ilvl w:val="1"/>
                <w:numId w:val="21"/>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Providers proactively engage patients, service users and learners in the development and delivery of education and training to embed the ethos of patient partnership within the learning environment.</w:t>
            </w:r>
          </w:p>
        </w:tc>
      </w:tr>
      <w:tr w:rsidR="00FF78D4" w:rsidRPr="0016721E" w:rsidTr="0016721E">
        <w:trPr>
          <w:cantSplit/>
        </w:trPr>
        <w:tc>
          <w:tcPr>
            <w:tcW w:w="10414" w:type="dxa"/>
            <w:shd w:val="clear" w:color="auto" w:fill="0070C0"/>
          </w:tcPr>
          <w:p w:rsidR="00FF78D4" w:rsidRPr="0016721E" w:rsidRDefault="002B6112" w:rsidP="0016721E">
            <w:pPr>
              <w:pStyle w:val="GMCNumbertext"/>
              <w:numPr>
                <w:ilvl w:val="0"/>
                <w:numId w:val="0"/>
              </w:numPr>
              <w:tabs>
                <w:tab w:val="left" w:pos="3402"/>
                <w:tab w:val="left" w:pos="5670"/>
              </w:tabs>
              <w:spacing w:before="40" w:after="40" w:line="240" w:lineRule="auto"/>
              <w:jc w:val="both"/>
              <w:rPr>
                <w:rFonts w:ascii="Arial" w:hAnsi="Arial" w:cs="Arial"/>
                <w:b/>
                <w:bCs/>
                <w:color w:val="auto"/>
                <w:lang w:eastAsia="en-GB"/>
              </w:rPr>
            </w:pPr>
            <w:r>
              <w:rPr>
                <w:rFonts w:ascii="Arial" w:hAnsi="Arial" w:cs="Arial"/>
                <w:b/>
                <w:color w:val="FFFFFF" w:themeColor="background1"/>
              </w:rPr>
              <w:t>Standard</w:t>
            </w:r>
            <w:r w:rsidR="00FF78D4" w:rsidRPr="0016721E">
              <w:rPr>
                <w:rFonts w:ascii="Arial" w:hAnsi="Arial" w:cs="Arial"/>
                <w:b/>
                <w:color w:val="FFFFFF" w:themeColor="background1"/>
              </w:rPr>
              <w:t xml:space="preserve"> 6 – Developing a sustainable workforce</w:t>
            </w:r>
          </w:p>
        </w:tc>
      </w:tr>
      <w:tr w:rsidR="00FF78D4" w:rsidRPr="0016721E" w:rsidTr="0016721E">
        <w:trPr>
          <w:cantSplit/>
        </w:trPr>
        <w:tc>
          <w:tcPr>
            <w:tcW w:w="10414" w:type="dxa"/>
            <w:shd w:val="clear" w:color="auto" w:fill="FFFFFF" w:themeFill="background1"/>
          </w:tcPr>
          <w:p w:rsidR="00B96343" w:rsidRDefault="0017763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1667AC">
              <w:rPr>
                <w:rFonts w:ascii="Arial" w:hAnsi="Arial" w:cs="Arial"/>
                <w:sz w:val="18"/>
                <w:szCs w:val="18"/>
              </w:rPr>
              <w:t>Placement providers work with other organisations to mitigate avoidable learner attrition from programmes.</w:t>
            </w:r>
          </w:p>
          <w:p w:rsidR="00B96343" w:rsidRDefault="0017763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There are opportunities for learners to receive appropriate careers advice from colleagues within the learning environment, including understanding other roles and career pathway opportunities.</w:t>
            </w:r>
          </w:p>
          <w:p w:rsidR="00B96343" w:rsidRDefault="001667A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The organisation engages in local workforce planning to ensure it supports the development of learners who have the skills, knowledge and behaviours to meet the changing needs of patients and service.</w:t>
            </w:r>
          </w:p>
          <w:p w:rsidR="001667AC" w:rsidRPr="00B96343" w:rsidRDefault="001667A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Transition from a healthcare education programme to employment is underpinned by a clear process of support developed and delivered in partnership with the learner.</w:t>
            </w:r>
          </w:p>
        </w:tc>
      </w:tr>
      <w:tr w:rsidR="00B96343" w:rsidRPr="0016721E" w:rsidTr="0016721E">
        <w:trPr>
          <w:cantSplit/>
        </w:trPr>
        <w:tc>
          <w:tcPr>
            <w:tcW w:w="10414" w:type="dxa"/>
            <w:shd w:val="clear" w:color="auto" w:fill="FFFFFF" w:themeFill="background1"/>
          </w:tcPr>
          <w:p w:rsidR="00B96343" w:rsidRPr="001667AC" w:rsidRDefault="00B96343" w:rsidP="00B96343">
            <w:pPr>
              <w:pStyle w:val="GMCNumbertext"/>
              <w:numPr>
                <w:ilvl w:val="0"/>
                <w:numId w:val="0"/>
              </w:numPr>
              <w:tabs>
                <w:tab w:val="left" w:pos="3402"/>
                <w:tab w:val="left" w:pos="5670"/>
              </w:tabs>
              <w:spacing w:before="40" w:after="0" w:line="240" w:lineRule="auto"/>
              <w:jc w:val="both"/>
              <w:rPr>
                <w:rFonts w:ascii="Arial" w:hAnsi="Arial" w:cs="Arial"/>
                <w:sz w:val="18"/>
                <w:szCs w:val="18"/>
              </w:rPr>
            </w:pPr>
          </w:p>
        </w:tc>
      </w:tr>
    </w:tbl>
    <w:p w:rsidR="00CD2EEF" w:rsidRPr="00CD2EEF" w:rsidRDefault="00CD2EEF" w:rsidP="00FF78D4"/>
    <w:p w:rsidR="00BC644F" w:rsidRDefault="00CD2EEF" w:rsidP="00CD2EEF">
      <w:pPr>
        <w:pStyle w:val="Heading1"/>
        <w:jc w:val="center"/>
      </w:pPr>
      <w:r>
        <w:t>Appendix 2: HEE Risk matrix</w:t>
      </w:r>
    </w:p>
    <w:p w:rsidR="007653A3" w:rsidRDefault="007653A3" w:rsidP="007653A3"/>
    <w:p w:rsidR="007653A3" w:rsidRDefault="00660639" w:rsidP="007653A3">
      <w:r>
        <w:rPr>
          <w:noProof/>
          <w:lang w:val="en-US"/>
        </w:rPr>
        <w:drawing>
          <wp:inline distT="0" distB="0" distL="0" distR="0" wp14:anchorId="2ABDD5D0" wp14:editId="4FC048CE">
            <wp:extent cx="5943600" cy="1971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971675"/>
                    </a:xfrm>
                    <a:prstGeom prst="rect">
                      <a:avLst/>
                    </a:prstGeom>
                  </pic:spPr>
                </pic:pic>
              </a:graphicData>
            </a:graphic>
          </wp:inline>
        </w:drawing>
      </w:r>
    </w:p>
    <w:p w:rsidR="007653A3" w:rsidRDefault="007653A3" w:rsidP="007653A3"/>
    <w:p w:rsidR="007653A3" w:rsidRPr="007653A3" w:rsidRDefault="00660639" w:rsidP="00660639">
      <w:pPr>
        <w:jc w:val="center"/>
      </w:pPr>
      <w:r>
        <w:rPr>
          <w:noProof/>
          <w:lang w:val="en-US"/>
        </w:rPr>
        <w:drawing>
          <wp:inline distT="0" distB="0" distL="0" distR="0" wp14:anchorId="1EB5E22D" wp14:editId="42B29BEF">
            <wp:extent cx="3714229" cy="5304700"/>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stretch>
                      <a:fillRect/>
                    </a:stretch>
                  </pic:blipFill>
                  <pic:spPr>
                    <a:xfrm>
                      <a:off x="0" y="0"/>
                      <a:ext cx="3714229" cy="5304700"/>
                    </a:xfrm>
                    <a:prstGeom prst="rect">
                      <a:avLst/>
                    </a:prstGeom>
                  </pic:spPr>
                </pic:pic>
              </a:graphicData>
            </a:graphic>
          </wp:inline>
        </w:drawing>
      </w:r>
    </w:p>
    <w:sectPr w:rsidR="007653A3" w:rsidRPr="007653A3" w:rsidSect="00B55B1C">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3CC" w:rsidRDefault="00BB53CC" w:rsidP="00AC72FD">
      <w:r>
        <w:separator/>
      </w:r>
    </w:p>
  </w:endnote>
  <w:endnote w:type="continuationSeparator" w:id="0">
    <w:p w:rsidR="00BB53CC" w:rsidRDefault="00BB53C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C63" w:rsidRDefault="00792C63"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Pr="0091039C" w:rsidRDefault="00792C63"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rsidR="00792C63" w:rsidRDefault="00792C63"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pPr>
      <w:pStyle w:val="Footer"/>
    </w:pPr>
    <w:r>
      <w:rPr>
        <w:noProof/>
        <w:lang w:val="en-US"/>
      </w:rPr>
      <w:drawing>
        <wp:anchor distT="0" distB="0" distL="114300" distR="114300" simplePos="0" relativeHeight="251658239" behindDoc="0" locked="0" layoutInCell="1" allowOverlap="1" wp14:anchorId="5911B15E" wp14:editId="16CE3B6B">
          <wp:simplePos x="0" y="0"/>
          <wp:positionH relativeFrom="column">
            <wp:posOffset>-540385</wp:posOffset>
          </wp:positionH>
          <wp:positionV relativeFrom="paragraph">
            <wp:posOffset>-93345</wp:posOffset>
          </wp:positionV>
          <wp:extent cx="7562215" cy="1402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92C63" w:rsidRDefault="00792C63">
    <w:pPr>
      <w:pStyle w:val="Footer"/>
    </w:pPr>
  </w:p>
  <w:p w:rsidR="00792C63" w:rsidRDefault="00792C63">
    <w:pPr>
      <w:pStyle w:val="Footer"/>
    </w:pPr>
  </w:p>
  <w:p w:rsidR="00792C63" w:rsidRDefault="00792C63">
    <w:pPr>
      <w:pStyle w:val="Footer"/>
    </w:pPr>
  </w:p>
  <w:p w:rsidR="00792C63" w:rsidRDefault="00792C63">
    <w:pPr>
      <w:pStyle w:val="Footer"/>
    </w:pPr>
  </w:p>
  <w:p w:rsidR="00792C63" w:rsidRDefault="00792C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C63" w:rsidRDefault="00792C63"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pPr>
      <w:pStyle w:val="Footer"/>
      <w:jc w:val="center"/>
    </w:pPr>
    <w:r>
      <w:fldChar w:fldCharType="begin"/>
    </w:r>
    <w:r>
      <w:instrText xml:space="preserve"> PAGE   \* MERGEFORMAT </w:instrText>
    </w:r>
    <w:r>
      <w:fldChar w:fldCharType="separate"/>
    </w:r>
    <w:r w:rsidR="00833A5B">
      <w:rPr>
        <w:noProof/>
      </w:rPr>
      <w:t>2</w:t>
    </w:r>
    <w:r>
      <w:rPr>
        <w:noProof/>
      </w:rPr>
      <w:fldChar w:fldCharType="end"/>
    </w:r>
  </w:p>
  <w:p w:rsidR="00792C63" w:rsidRDefault="00792C63"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pPr>
      <w:pStyle w:val="Footer"/>
    </w:pPr>
    <w:r>
      <w:t>Version 0.1</w:t>
    </w:r>
  </w:p>
  <w:p w:rsidR="00792C63" w:rsidRDefault="0079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3CC" w:rsidRDefault="00BB53CC" w:rsidP="00AC72FD">
      <w:r>
        <w:separator/>
      </w:r>
    </w:p>
  </w:footnote>
  <w:footnote w:type="continuationSeparator" w:id="0">
    <w:p w:rsidR="00BB53CC" w:rsidRDefault="00BB53C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Pr="00CF767E" w:rsidRDefault="00792C63" w:rsidP="00CF767E">
    <w:pPr>
      <w:pStyle w:val="Header"/>
      <w:jc w:val="right"/>
    </w:pPr>
    <w:r>
      <w:rPr>
        <w:rFonts w:eastAsiaTheme="majorEastAsia" w:cstheme="majorBidi"/>
        <w:b/>
        <w:bCs/>
        <w:color w:val="003893"/>
        <w:sz w:val="28"/>
        <w:szCs w:val="28"/>
      </w:rP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pPr>
      <w:pStyle w:val="Header"/>
    </w:pPr>
    <w:r>
      <w:rPr>
        <w:noProof/>
        <w:lang w:val="en-US"/>
      </w:rPr>
      <w:drawing>
        <wp:anchor distT="0" distB="0" distL="114300" distR="114300" simplePos="0" relativeHeight="251659264" behindDoc="0" locked="0" layoutInCell="1" allowOverlap="0" wp14:anchorId="50727371" wp14:editId="51C3A159">
          <wp:simplePos x="0" y="0"/>
          <wp:positionH relativeFrom="page">
            <wp:posOffset>4360545</wp:posOffset>
          </wp:positionH>
          <wp:positionV relativeFrom="page">
            <wp:posOffset>314325</wp:posOffset>
          </wp:positionV>
          <wp:extent cx="2788920" cy="652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Pr="00AC72FD" w:rsidRDefault="00792C63" w:rsidP="002D6889">
    <w:pPr>
      <w:pStyle w:val="Heading2"/>
      <w:spacing w:after="400"/>
      <w:jc w:val="right"/>
    </w:pPr>
    <w:r>
      <w:t>Quality review outcome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3" w:rsidRDefault="00792C63">
    <w:pPr>
      <w:pStyle w:val="Header"/>
    </w:pPr>
    <w:r>
      <w:rPr>
        <w:noProof/>
        <w:lang w:val="en-US"/>
      </w:rPr>
      <w:drawing>
        <wp:anchor distT="0" distB="0" distL="114300" distR="114300" simplePos="0" relativeHeight="251661312" behindDoc="0" locked="0" layoutInCell="1" allowOverlap="0" wp14:anchorId="00CA2A4D" wp14:editId="66C588D0">
          <wp:simplePos x="0" y="0"/>
          <wp:positionH relativeFrom="page">
            <wp:posOffset>4360545</wp:posOffset>
          </wp:positionH>
          <wp:positionV relativeFrom="page">
            <wp:posOffset>314325</wp:posOffset>
          </wp:positionV>
          <wp:extent cx="278892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5607704"/>
    <w:lvl w:ilvl="0">
      <w:start w:val="1"/>
      <w:numFmt w:val="decimal"/>
      <w:pStyle w:val="ListNumber"/>
      <w:lvlText w:val="%1."/>
      <w:lvlJc w:val="left"/>
      <w:pPr>
        <w:tabs>
          <w:tab w:val="num" w:pos="360"/>
        </w:tabs>
        <w:ind w:left="360" w:hanging="360"/>
      </w:pPr>
    </w:lvl>
  </w:abstractNum>
  <w:abstractNum w:abstractNumId="1" w15:restartNumberingAfterBreak="0">
    <w:nsid w:val="03E50CD6"/>
    <w:multiLevelType w:val="multilevel"/>
    <w:tmpl w:val="5FAEF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E26766"/>
    <w:multiLevelType w:val="hybridMultilevel"/>
    <w:tmpl w:val="BB6E1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D7097D"/>
    <w:multiLevelType w:val="hybridMultilevel"/>
    <w:tmpl w:val="3CB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54CF5"/>
    <w:multiLevelType w:val="multilevel"/>
    <w:tmpl w:val="4E42C1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76AC6"/>
    <w:multiLevelType w:val="hybridMultilevel"/>
    <w:tmpl w:val="40BC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020F4"/>
    <w:multiLevelType w:val="hybridMultilevel"/>
    <w:tmpl w:val="44FE2B0E"/>
    <w:lvl w:ilvl="0" w:tplc="5D2488F2">
      <w:start w:val="2"/>
      <w:numFmt w:val="decimal"/>
      <w:pStyle w:val="ListParagraph"/>
      <w:lvlText w:val="%1.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5667F5"/>
    <w:multiLevelType w:val="multilevel"/>
    <w:tmpl w:val="4E42C1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A82B0A"/>
    <w:multiLevelType w:val="multilevel"/>
    <w:tmpl w:val="B246D7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175540"/>
    <w:multiLevelType w:val="multilevel"/>
    <w:tmpl w:val="94EEDCA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4C5846"/>
    <w:multiLevelType w:val="hybridMultilevel"/>
    <w:tmpl w:val="8C90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F547D"/>
    <w:multiLevelType w:val="hybridMultilevel"/>
    <w:tmpl w:val="F2900A32"/>
    <w:lvl w:ilvl="0" w:tplc="3F029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01D63"/>
    <w:multiLevelType w:val="multilevel"/>
    <w:tmpl w:val="A89A9D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E74676"/>
    <w:multiLevelType w:val="hybridMultilevel"/>
    <w:tmpl w:val="9E7E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17060"/>
    <w:multiLevelType w:val="hybridMultilevel"/>
    <w:tmpl w:val="F516D17E"/>
    <w:lvl w:ilvl="0" w:tplc="8EF4896A">
      <w:start w:val="2"/>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B1500F"/>
    <w:multiLevelType w:val="multilevel"/>
    <w:tmpl w:val="31B20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F0D58"/>
    <w:multiLevelType w:val="multilevel"/>
    <w:tmpl w:val="A89A9D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C44211"/>
    <w:multiLevelType w:val="hybridMultilevel"/>
    <w:tmpl w:val="98DCC65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0D3B54"/>
    <w:multiLevelType w:val="hybridMultilevel"/>
    <w:tmpl w:val="8338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360A7"/>
    <w:multiLevelType w:val="hybridMultilevel"/>
    <w:tmpl w:val="6B14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95249"/>
    <w:multiLevelType w:val="hybridMultilevel"/>
    <w:tmpl w:val="F7BC8EFC"/>
    <w:lvl w:ilvl="0" w:tplc="2CD691B2">
      <w:start w:val="2"/>
      <w:numFmt w:val="decimal"/>
      <w:lvlText w:val="%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173EB4"/>
    <w:multiLevelType w:val="multilevel"/>
    <w:tmpl w:val="31B20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08421B"/>
    <w:multiLevelType w:val="multilevel"/>
    <w:tmpl w:val="09BA5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F6528F"/>
    <w:multiLevelType w:val="hybridMultilevel"/>
    <w:tmpl w:val="F6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25" w15:restartNumberingAfterBreak="0">
    <w:nsid w:val="4D002E1D"/>
    <w:multiLevelType w:val="hybridMultilevel"/>
    <w:tmpl w:val="EE8AA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610A8F"/>
    <w:multiLevelType w:val="hybridMultilevel"/>
    <w:tmpl w:val="8EF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037AA"/>
    <w:multiLevelType w:val="hybridMultilevel"/>
    <w:tmpl w:val="7994864E"/>
    <w:lvl w:ilvl="0" w:tplc="5D2488F2">
      <w:start w:val="2"/>
      <w:numFmt w:val="decimal"/>
      <w:lvlText w:val="%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5365F6"/>
    <w:multiLevelType w:val="hybridMultilevel"/>
    <w:tmpl w:val="A9E8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7120E"/>
    <w:multiLevelType w:val="hybridMultilevel"/>
    <w:tmpl w:val="B61CF818"/>
    <w:lvl w:ilvl="0" w:tplc="2EA4A4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E00389"/>
    <w:multiLevelType w:val="multilevel"/>
    <w:tmpl w:val="A89A9D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A076809"/>
    <w:multiLevelType w:val="hybridMultilevel"/>
    <w:tmpl w:val="35A8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13756"/>
    <w:multiLevelType w:val="hybridMultilevel"/>
    <w:tmpl w:val="1732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A1509"/>
    <w:multiLevelType w:val="multilevel"/>
    <w:tmpl w:val="5FAEF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F22C09"/>
    <w:multiLevelType w:val="hybridMultilevel"/>
    <w:tmpl w:val="4774BE30"/>
    <w:lvl w:ilvl="0" w:tplc="83EC6592">
      <w:start w:val="2"/>
      <w:numFmt w:val="decimal"/>
      <w:lvlText w:val="%1.1"/>
      <w:lvlJc w:val="left"/>
      <w:pPr>
        <w:ind w:left="36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22"/>
  </w:num>
  <w:num w:numId="4">
    <w:abstractNumId w:val="11"/>
  </w:num>
  <w:num w:numId="5">
    <w:abstractNumId w:val="25"/>
  </w:num>
  <w:num w:numId="6">
    <w:abstractNumId w:val="9"/>
  </w:num>
  <w:num w:numId="7">
    <w:abstractNumId w:val="14"/>
  </w:num>
  <w:num w:numId="8">
    <w:abstractNumId w:val="27"/>
  </w:num>
  <w:num w:numId="9">
    <w:abstractNumId w:val="34"/>
  </w:num>
  <w:num w:numId="10">
    <w:abstractNumId w:val="27"/>
    <w:lvlOverride w:ilvl="0">
      <w:startOverride w:val="2"/>
    </w:lvlOverride>
  </w:num>
  <w:num w:numId="11">
    <w:abstractNumId w:val="20"/>
  </w:num>
  <w:num w:numId="12">
    <w:abstractNumId w:val="27"/>
    <w:lvlOverride w:ilvl="0">
      <w:startOverride w:val="2"/>
    </w:lvlOverride>
  </w:num>
  <w:num w:numId="13">
    <w:abstractNumId w:val="6"/>
  </w:num>
  <w:num w:numId="14">
    <w:abstractNumId w:val="15"/>
  </w:num>
  <w:num w:numId="15">
    <w:abstractNumId w:val="21"/>
  </w:num>
  <w:num w:numId="16">
    <w:abstractNumId w:val="33"/>
  </w:num>
  <w:num w:numId="17">
    <w:abstractNumId w:val="1"/>
  </w:num>
  <w:num w:numId="18">
    <w:abstractNumId w:val="8"/>
  </w:num>
  <w:num w:numId="19">
    <w:abstractNumId w:val="4"/>
  </w:num>
  <w:num w:numId="20">
    <w:abstractNumId w:val="7"/>
  </w:num>
  <w:num w:numId="21">
    <w:abstractNumId w:val="30"/>
  </w:num>
  <w:num w:numId="22">
    <w:abstractNumId w:val="12"/>
  </w:num>
  <w:num w:numId="23">
    <w:abstractNumId w:val="16"/>
  </w:num>
  <w:num w:numId="24">
    <w:abstractNumId w:val="23"/>
  </w:num>
  <w:num w:numId="25">
    <w:abstractNumId w:val="29"/>
  </w:num>
  <w:num w:numId="26">
    <w:abstractNumId w:val="6"/>
    <w:lvlOverride w:ilvl="0">
      <w:startOverride w:val="2"/>
    </w:lvlOverride>
  </w:num>
  <w:num w:numId="27">
    <w:abstractNumId w:val="5"/>
  </w:num>
  <w:num w:numId="28">
    <w:abstractNumId w:val="18"/>
  </w:num>
  <w:num w:numId="29">
    <w:abstractNumId w:val="10"/>
  </w:num>
  <w:num w:numId="30">
    <w:abstractNumId w:val="13"/>
  </w:num>
  <w:num w:numId="31">
    <w:abstractNumId w:val="31"/>
  </w:num>
  <w:num w:numId="32">
    <w:abstractNumId w:val="19"/>
  </w:num>
  <w:num w:numId="33">
    <w:abstractNumId w:val="28"/>
  </w:num>
  <w:num w:numId="34">
    <w:abstractNumId w:val="26"/>
  </w:num>
  <w:num w:numId="35">
    <w:abstractNumId w:val="3"/>
  </w:num>
  <w:num w:numId="36">
    <w:abstractNumId w:val="17"/>
  </w:num>
  <w:num w:numId="37">
    <w:abstractNumId w:val="2"/>
  </w:num>
  <w:num w:numId="38">
    <w:abstractNumId w:val="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C8"/>
    <w:rsid w:val="000035E2"/>
    <w:rsid w:val="00003D65"/>
    <w:rsid w:val="00010B85"/>
    <w:rsid w:val="00011A8E"/>
    <w:rsid w:val="00020B94"/>
    <w:rsid w:val="00020BF8"/>
    <w:rsid w:val="00021E44"/>
    <w:rsid w:val="00022756"/>
    <w:rsid w:val="00022DEA"/>
    <w:rsid w:val="0002484D"/>
    <w:rsid w:val="000324B0"/>
    <w:rsid w:val="00036416"/>
    <w:rsid w:val="000435D9"/>
    <w:rsid w:val="00052D21"/>
    <w:rsid w:val="00054608"/>
    <w:rsid w:val="000613BC"/>
    <w:rsid w:val="0006656C"/>
    <w:rsid w:val="000753DA"/>
    <w:rsid w:val="00080F3D"/>
    <w:rsid w:val="0008189D"/>
    <w:rsid w:val="00091638"/>
    <w:rsid w:val="000A0793"/>
    <w:rsid w:val="000A085B"/>
    <w:rsid w:val="000A3458"/>
    <w:rsid w:val="000A7E5C"/>
    <w:rsid w:val="000B2B13"/>
    <w:rsid w:val="000B395D"/>
    <w:rsid w:val="000B50B2"/>
    <w:rsid w:val="000C6B00"/>
    <w:rsid w:val="000D4300"/>
    <w:rsid w:val="000E5617"/>
    <w:rsid w:val="000E69BB"/>
    <w:rsid w:val="00104E5E"/>
    <w:rsid w:val="00116629"/>
    <w:rsid w:val="001229CE"/>
    <w:rsid w:val="001273D6"/>
    <w:rsid w:val="0012795D"/>
    <w:rsid w:val="0013538B"/>
    <w:rsid w:val="0013554F"/>
    <w:rsid w:val="0014093B"/>
    <w:rsid w:val="0014443D"/>
    <w:rsid w:val="00145349"/>
    <w:rsid w:val="001463E9"/>
    <w:rsid w:val="001533E6"/>
    <w:rsid w:val="00157F40"/>
    <w:rsid w:val="00160DB9"/>
    <w:rsid w:val="00163924"/>
    <w:rsid w:val="001667AC"/>
    <w:rsid w:val="0016721E"/>
    <w:rsid w:val="00171D9F"/>
    <w:rsid w:val="00172F54"/>
    <w:rsid w:val="00174A83"/>
    <w:rsid w:val="0017763C"/>
    <w:rsid w:val="00180C78"/>
    <w:rsid w:val="001822A3"/>
    <w:rsid w:val="00184133"/>
    <w:rsid w:val="001844FA"/>
    <w:rsid w:val="0018559D"/>
    <w:rsid w:val="00197CDB"/>
    <w:rsid w:val="001A054D"/>
    <w:rsid w:val="001A1E33"/>
    <w:rsid w:val="001A5BAF"/>
    <w:rsid w:val="001A6543"/>
    <w:rsid w:val="001A7741"/>
    <w:rsid w:val="001B0757"/>
    <w:rsid w:val="001B1AAE"/>
    <w:rsid w:val="001B2A50"/>
    <w:rsid w:val="001B563E"/>
    <w:rsid w:val="001B72F4"/>
    <w:rsid w:val="001C3103"/>
    <w:rsid w:val="001C6E34"/>
    <w:rsid w:val="001D10A4"/>
    <w:rsid w:val="001D1736"/>
    <w:rsid w:val="001D1848"/>
    <w:rsid w:val="001D39AD"/>
    <w:rsid w:val="001D4F3A"/>
    <w:rsid w:val="001D7101"/>
    <w:rsid w:val="001E0949"/>
    <w:rsid w:val="001E2B63"/>
    <w:rsid w:val="001F3559"/>
    <w:rsid w:val="001F5A94"/>
    <w:rsid w:val="001F5BF8"/>
    <w:rsid w:val="00205F3D"/>
    <w:rsid w:val="00210372"/>
    <w:rsid w:val="002108F4"/>
    <w:rsid w:val="00213856"/>
    <w:rsid w:val="00217E4F"/>
    <w:rsid w:val="002255F1"/>
    <w:rsid w:val="00226F8F"/>
    <w:rsid w:val="00234D7C"/>
    <w:rsid w:val="002405C4"/>
    <w:rsid w:val="0024514D"/>
    <w:rsid w:val="0025038D"/>
    <w:rsid w:val="0025161D"/>
    <w:rsid w:val="00252DEF"/>
    <w:rsid w:val="00254CD5"/>
    <w:rsid w:val="002550C1"/>
    <w:rsid w:val="00266623"/>
    <w:rsid w:val="00266F44"/>
    <w:rsid w:val="002712A0"/>
    <w:rsid w:val="002830C1"/>
    <w:rsid w:val="0029117F"/>
    <w:rsid w:val="0029601B"/>
    <w:rsid w:val="0029651D"/>
    <w:rsid w:val="00297374"/>
    <w:rsid w:val="00297574"/>
    <w:rsid w:val="002A7517"/>
    <w:rsid w:val="002B41BF"/>
    <w:rsid w:val="002B5211"/>
    <w:rsid w:val="002B6112"/>
    <w:rsid w:val="002B74A7"/>
    <w:rsid w:val="002D198A"/>
    <w:rsid w:val="002D340A"/>
    <w:rsid w:val="002D6889"/>
    <w:rsid w:val="002E49BA"/>
    <w:rsid w:val="002E4A86"/>
    <w:rsid w:val="002F35FE"/>
    <w:rsid w:val="002F7CD0"/>
    <w:rsid w:val="002F7E01"/>
    <w:rsid w:val="00304822"/>
    <w:rsid w:val="00306F66"/>
    <w:rsid w:val="00310F7B"/>
    <w:rsid w:val="00316B03"/>
    <w:rsid w:val="003201EF"/>
    <w:rsid w:val="00324944"/>
    <w:rsid w:val="003254BE"/>
    <w:rsid w:val="0032692D"/>
    <w:rsid w:val="0032761F"/>
    <w:rsid w:val="00327AD2"/>
    <w:rsid w:val="00331985"/>
    <w:rsid w:val="003337E2"/>
    <w:rsid w:val="003428D6"/>
    <w:rsid w:val="0034574C"/>
    <w:rsid w:val="003474C8"/>
    <w:rsid w:val="00356883"/>
    <w:rsid w:val="00356949"/>
    <w:rsid w:val="00357323"/>
    <w:rsid w:val="0037020D"/>
    <w:rsid w:val="00377661"/>
    <w:rsid w:val="00381EC7"/>
    <w:rsid w:val="00383487"/>
    <w:rsid w:val="003855CE"/>
    <w:rsid w:val="0038796F"/>
    <w:rsid w:val="00390A77"/>
    <w:rsid w:val="003A1539"/>
    <w:rsid w:val="003A24CF"/>
    <w:rsid w:val="003B2517"/>
    <w:rsid w:val="003B49DD"/>
    <w:rsid w:val="003C4D3C"/>
    <w:rsid w:val="003C541C"/>
    <w:rsid w:val="003C6DD6"/>
    <w:rsid w:val="003D5364"/>
    <w:rsid w:val="003E4FC8"/>
    <w:rsid w:val="003E755D"/>
    <w:rsid w:val="003F16DA"/>
    <w:rsid w:val="003F63C2"/>
    <w:rsid w:val="003F7BF1"/>
    <w:rsid w:val="00400D6E"/>
    <w:rsid w:val="00401873"/>
    <w:rsid w:val="0040683D"/>
    <w:rsid w:val="00412A8C"/>
    <w:rsid w:val="0041457D"/>
    <w:rsid w:val="004155D6"/>
    <w:rsid w:val="00416A88"/>
    <w:rsid w:val="004205FE"/>
    <w:rsid w:val="004244A6"/>
    <w:rsid w:val="00426800"/>
    <w:rsid w:val="00427F70"/>
    <w:rsid w:val="00430395"/>
    <w:rsid w:val="00430F28"/>
    <w:rsid w:val="0043218A"/>
    <w:rsid w:val="00432CE6"/>
    <w:rsid w:val="004357A9"/>
    <w:rsid w:val="004371BF"/>
    <w:rsid w:val="004411BB"/>
    <w:rsid w:val="00441906"/>
    <w:rsid w:val="004544DB"/>
    <w:rsid w:val="00455642"/>
    <w:rsid w:val="00460195"/>
    <w:rsid w:val="00460A60"/>
    <w:rsid w:val="00462874"/>
    <w:rsid w:val="0046515F"/>
    <w:rsid w:val="00465F31"/>
    <w:rsid w:val="0046648C"/>
    <w:rsid w:val="00474EC0"/>
    <w:rsid w:val="0047678A"/>
    <w:rsid w:val="00483684"/>
    <w:rsid w:val="00485CBB"/>
    <w:rsid w:val="00486B6F"/>
    <w:rsid w:val="004956AA"/>
    <w:rsid w:val="004A27EA"/>
    <w:rsid w:val="004B774A"/>
    <w:rsid w:val="004B7D97"/>
    <w:rsid w:val="004C4979"/>
    <w:rsid w:val="004C7401"/>
    <w:rsid w:val="004D4612"/>
    <w:rsid w:val="004D4B0F"/>
    <w:rsid w:val="004E10F1"/>
    <w:rsid w:val="004F0492"/>
    <w:rsid w:val="004F1AEE"/>
    <w:rsid w:val="004F48CA"/>
    <w:rsid w:val="00507374"/>
    <w:rsid w:val="00514E38"/>
    <w:rsid w:val="00516740"/>
    <w:rsid w:val="00517074"/>
    <w:rsid w:val="005209BB"/>
    <w:rsid w:val="005212E4"/>
    <w:rsid w:val="00524168"/>
    <w:rsid w:val="00526EAC"/>
    <w:rsid w:val="005424A9"/>
    <w:rsid w:val="00542BF2"/>
    <w:rsid w:val="00543D68"/>
    <w:rsid w:val="00544669"/>
    <w:rsid w:val="00546EA6"/>
    <w:rsid w:val="00551EAE"/>
    <w:rsid w:val="0056107B"/>
    <w:rsid w:val="00561848"/>
    <w:rsid w:val="00563C76"/>
    <w:rsid w:val="00565E16"/>
    <w:rsid w:val="00565E8C"/>
    <w:rsid w:val="005701CC"/>
    <w:rsid w:val="00571CF9"/>
    <w:rsid w:val="005752C8"/>
    <w:rsid w:val="0057560B"/>
    <w:rsid w:val="00576F9F"/>
    <w:rsid w:val="00585F52"/>
    <w:rsid w:val="00592F0D"/>
    <w:rsid w:val="005A29AC"/>
    <w:rsid w:val="005A3FEE"/>
    <w:rsid w:val="005A4A76"/>
    <w:rsid w:val="005A4B4B"/>
    <w:rsid w:val="005A50A0"/>
    <w:rsid w:val="005A53C6"/>
    <w:rsid w:val="005A6BAC"/>
    <w:rsid w:val="005B09F5"/>
    <w:rsid w:val="005B5D3E"/>
    <w:rsid w:val="005D7D1C"/>
    <w:rsid w:val="005E1315"/>
    <w:rsid w:val="005E3B6D"/>
    <w:rsid w:val="005E3DE6"/>
    <w:rsid w:val="005E7385"/>
    <w:rsid w:val="005F2B9C"/>
    <w:rsid w:val="005F48F6"/>
    <w:rsid w:val="006007D5"/>
    <w:rsid w:val="0060185D"/>
    <w:rsid w:val="00603180"/>
    <w:rsid w:val="006034DD"/>
    <w:rsid w:val="00604C21"/>
    <w:rsid w:val="00606B54"/>
    <w:rsid w:val="00623360"/>
    <w:rsid w:val="0062507C"/>
    <w:rsid w:val="0062540C"/>
    <w:rsid w:val="00632218"/>
    <w:rsid w:val="00632376"/>
    <w:rsid w:val="00633EC0"/>
    <w:rsid w:val="00643035"/>
    <w:rsid w:val="006500C5"/>
    <w:rsid w:val="0065662D"/>
    <w:rsid w:val="00660639"/>
    <w:rsid w:val="00661938"/>
    <w:rsid w:val="006622FE"/>
    <w:rsid w:val="00663390"/>
    <w:rsid w:val="00667547"/>
    <w:rsid w:val="00674445"/>
    <w:rsid w:val="00674468"/>
    <w:rsid w:val="006752AA"/>
    <w:rsid w:val="0067630E"/>
    <w:rsid w:val="006801F3"/>
    <w:rsid w:val="00681D49"/>
    <w:rsid w:val="00683E37"/>
    <w:rsid w:val="00685DB1"/>
    <w:rsid w:val="006A1C8F"/>
    <w:rsid w:val="006A3DA5"/>
    <w:rsid w:val="006B2EA1"/>
    <w:rsid w:val="006B3F7E"/>
    <w:rsid w:val="006C243A"/>
    <w:rsid w:val="006C4998"/>
    <w:rsid w:val="006C590A"/>
    <w:rsid w:val="006D209B"/>
    <w:rsid w:val="006D3BEB"/>
    <w:rsid w:val="006D4858"/>
    <w:rsid w:val="006D56A6"/>
    <w:rsid w:val="006E0657"/>
    <w:rsid w:val="006F3F89"/>
    <w:rsid w:val="006F5662"/>
    <w:rsid w:val="00703003"/>
    <w:rsid w:val="00726929"/>
    <w:rsid w:val="007271BE"/>
    <w:rsid w:val="00727CB2"/>
    <w:rsid w:val="0073200D"/>
    <w:rsid w:val="00740A19"/>
    <w:rsid w:val="007462ED"/>
    <w:rsid w:val="00752E85"/>
    <w:rsid w:val="007613D9"/>
    <w:rsid w:val="007653A3"/>
    <w:rsid w:val="0076656F"/>
    <w:rsid w:val="00771F50"/>
    <w:rsid w:val="007728A7"/>
    <w:rsid w:val="00772FFE"/>
    <w:rsid w:val="007804D4"/>
    <w:rsid w:val="00781430"/>
    <w:rsid w:val="00782FE4"/>
    <w:rsid w:val="00787C64"/>
    <w:rsid w:val="00787F13"/>
    <w:rsid w:val="0079087D"/>
    <w:rsid w:val="00791AEF"/>
    <w:rsid w:val="00791CE8"/>
    <w:rsid w:val="00792C63"/>
    <w:rsid w:val="007A0FD5"/>
    <w:rsid w:val="007A48D4"/>
    <w:rsid w:val="007A523B"/>
    <w:rsid w:val="007A62DF"/>
    <w:rsid w:val="007A7288"/>
    <w:rsid w:val="007B0DBE"/>
    <w:rsid w:val="007B7ED5"/>
    <w:rsid w:val="007C0C75"/>
    <w:rsid w:val="007C4B2D"/>
    <w:rsid w:val="007E1397"/>
    <w:rsid w:val="007E38C4"/>
    <w:rsid w:val="007F2CB8"/>
    <w:rsid w:val="007F5282"/>
    <w:rsid w:val="00803295"/>
    <w:rsid w:val="00805F3A"/>
    <w:rsid w:val="008101DE"/>
    <w:rsid w:val="00811514"/>
    <w:rsid w:val="0081555B"/>
    <w:rsid w:val="00824C71"/>
    <w:rsid w:val="00827853"/>
    <w:rsid w:val="00832F64"/>
    <w:rsid w:val="00833A5B"/>
    <w:rsid w:val="0084477D"/>
    <w:rsid w:val="008447C9"/>
    <w:rsid w:val="00853F0B"/>
    <w:rsid w:val="00855291"/>
    <w:rsid w:val="008618D0"/>
    <w:rsid w:val="00861C74"/>
    <w:rsid w:val="008622D4"/>
    <w:rsid w:val="00864455"/>
    <w:rsid w:val="008653CE"/>
    <w:rsid w:val="00870764"/>
    <w:rsid w:val="00870CB6"/>
    <w:rsid w:val="008752A0"/>
    <w:rsid w:val="0087735F"/>
    <w:rsid w:val="00892C0D"/>
    <w:rsid w:val="0089418E"/>
    <w:rsid w:val="008A23B1"/>
    <w:rsid w:val="008A2B72"/>
    <w:rsid w:val="008A61B0"/>
    <w:rsid w:val="008B7146"/>
    <w:rsid w:val="008C256A"/>
    <w:rsid w:val="008E2C2F"/>
    <w:rsid w:val="008E2F0C"/>
    <w:rsid w:val="008E4F1F"/>
    <w:rsid w:val="008E5A4B"/>
    <w:rsid w:val="008E7D52"/>
    <w:rsid w:val="008F37CD"/>
    <w:rsid w:val="008F5242"/>
    <w:rsid w:val="008F5925"/>
    <w:rsid w:val="008F6751"/>
    <w:rsid w:val="0090414E"/>
    <w:rsid w:val="009049C5"/>
    <w:rsid w:val="00906015"/>
    <w:rsid w:val="0090719F"/>
    <w:rsid w:val="0091035D"/>
    <w:rsid w:val="0091039C"/>
    <w:rsid w:val="0091180F"/>
    <w:rsid w:val="00915133"/>
    <w:rsid w:val="009228C4"/>
    <w:rsid w:val="00927061"/>
    <w:rsid w:val="009273C6"/>
    <w:rsid w:val="009349DF"/>
    <w:rsid w:val="00937318"/>
    <w:rsid w:val="00937B43"/>
    <w:rsid w:val="00942825"/>
    <w:rsid w:val="00946202"/>
    <w:rsid w:val="009478E4"/>
    <w:rsid w:val="0095016B"/>
    <w:rsid w:val="009519B7"/>
    <w:rsid w:val="00954D0C"/>
    <w:rsid w:val="009570BF"/>
    <w:rsid w:val="00962227"/>
    <w:rsid w:val="00965449"/>
    <w:rsid w:val="00966FEF"/>
    <w:rsid w:val="009763E6"/>
    <w:rsid w:val="00980167"/>
    <w:rsid w:val="00982961"/>
    <w:rsid w:val="00997147"/>
    <w:rsid w:val="00997959"/>
    <w:rsid w:val="009A18F4"/>
    <w:rsid w:val="009A33A2"/>
    <w:rsid w:val="009A6D14"/>
    <w:rsid w:val="009A72F0"/>
    <w:rsid w:val="009A7FA3"/>
    <w:rsid w:val="009B676A"/>
    <w:rsid w:val="009B6AC4"/>
    <w:rsid w:val="009B75A7"/>
    <w:rsid w:val="009C0EEF"/>
    <w:rsid w:val="009C46A4"/>
    <w:rsid w:val="009C5E1A"/>
    <w:rsid w:val="009D07E1"/>
    <w:rsid w:val="009D11DE"/>
    <w:rsid w:val="009D2C3C"/>
    <w:rsid w:val="009D32F5"/>
    <w:rsid w:val="009D55DE"/>
    <w:rsid w:val="009D58A4"/>
    <w:rsid w:val="009D6AB1"/>
    <w:rsid w:val="009E0018"/>
    <w:rsid w:val="009E0F16"/>
    <w:rsid w:val="009E2641"/>
    <w:rsid w:val="009F0872"/>
    <w:rsid w:val="009F7447"/>
    <w:rsid w:val="00A030ED"/>
    <w:rsid w:val="00A10899"/>
    <w:rsid w:val="00A13B9B"/>
    <w:rsid w:val="00A14482"/>
    <w:rsid w:val="00A2099F"/>
    <w:rsid w:val="00A254EB"/>
    <w:rsid w:val="00A269A2"/>
    <w:rsid w:val="00A31217"/>
    <w:rsid w:val="00A31CFB"/>
    <w:rsid w:val="00A34D08"/>
    <w:rsid w:val="00A37F4B"/>
    <w:rsid w:val="00A5226A"/>
    <w:rsid w:val="00A57BAD"/>
    <w:rsid w:val="00A641A3"/>
    <w:rsid w:val="00A646C8"/>
    <w:rsid w:val="00A669CF"/>
    <w:rsid w:val="00A672ED"/>
    <w:rsid w:val="00A71181"/>
    <w:rsid w:val="00A71B8F"/>
    <w:rsid w:val="00A7278F"/>
    <w:rsid w:val="00A763DD"/>
    <w:rsid w:val="00A76867"/>
    <w:rsid w:val="00A85700"/>
    <w:rsid w:val="00A90E7A"/>
    <w:rsid w:val="00A95F24"/>
    <w:rsid w:val="00A9611C"/>
    <w:rsid w:val="00A96AE1"/>
    <w:rsid w:val="00AA0509"/>
    <w:rsid w:val="00AB1678"/>
    <w:rsid w:val="00AB3484"/>
    <w:rsid w:val="00AC1728"/>
    <w:rsid w:val="00AC5C46"/>
    <w:rsid w:val="00AC5EE6"/>
    <w:rsid w:val="00AC72FD"/>
    <w:rsid w:val="00AD2B66"/>
    <w:rsid w:val="00AD3004"/>
    <w:rsid w:val="00AD57C6"/>
    <w:rsid w:val="00AE161C"/>
    <w:rsid w:val="00AE24D9"/>
    <w:rsid w:val="00AE4C8F"/>
    <w:rsid w:val="00AE4E1C"/>
    <w:rsid w:val="00AE6FF2"/>
    <w:rsid w:val="00AE7C7A"/>
    <w:rsid w:val="00AE7F35"/>
    <w:rsid w:val="00AF2B7F"/>
    <w:rsid w:val="00AF2E73"/>
    <w:rsid w:val="00AF327F"/>
    <w:rsid w:val="00AF7608"/>
    <w:rsid w:val="00B04AE2"/>
    <w:rsid w:val="00B133CC"/>
    <w:rsid w:val="00B171E1"/>
    <w:rsid w:val="00B21F73"/>
    <w:rsid w:val="00B31C05"/>
    <w:rsid w:val="00B335AA"/>
    <w:rsid w:val="00B356CD"/>
    <w:rsid w:val="00B44254"/>
    <w:rsid w:val="00B44DC5"/>
    <w:rsid w:val="00B464F5"/>
    <w:rsid w:val="00B52688"/>
    <w:rsid w:val="00B55B1C"/>
    <w:rsid w:val="00B6109C"/>
    <w:rsid w:val="00B636E2"/>
    <w:rsid w:val="00B67373"/>
    <w:rsid w:val="00B72045"/>
    <w:rsid w:val="00B7345B"/>
    <w:rsid w:val="00B75387"/>
    <w:rsid w:val="00B75CA5"/>
    <w:rsid w:val="00B838DE"/>
    <w:rsid w:val="00B84D93"/>
    <w:rsid w:val="00B96343"/>
    <w:rsid w:val="00B96E5E"/>
    <w:rsid w:val="00B96FE1"/>
    <w:rsid w:val="00BB4DC8"/>
    <w:rsid w:val="00BB53CC"/>
    <w:rsid w:val="00BB7ECF"/>
    <w:rsid w:val="00BC644F"/>
    <w:rsid w:val="00BC6486"/>
    <w:rsid w:val="00BC656C"/>
    <w:rsid w:val="00BD058D"/>
    <w:rsid w:val="00BD3927"/>
    <w:rsid w:val="00BD3D6F"/>
    <w:rsid w:val="00BE1C2B"/>
    <w:rsid w:val="00BE7B86"/>
    <w:rsid w:val="00BF12B2"/>
    <w:rsid w:val="00BF5526"/>
    <w:rsid w:val="00C00B63"/>
    <w:rsid w:val="00C0475A"/>
    <w:rsid w:val="00C066BE"/>
    <w:rsid w:val="00C11043"/>
    <w:rsid w:val="00C11CA3"/>
    <w:rsid w:val="00C304F6"/>
    <w:rsid w:val="00C363A7"/>
    <w:rsid w:val="00C51571"/>
    <w:rsid w:val="00C52285"/>
    <w:rsid w:val="00C57386"/>
    <w:rsid w:val="00C65FF6"/>
    <w:rsid w:val="00C676E2"/>
    <w:rsid w:val="00C708A8"/>
    <w:rsid w:val="00C82D24"/>
    <w:rsid w:val="00C83874"/>
    <w:rsid w:val="00C90727"/>
    <w:rsid w:val="00C94825"/>
    <w:rsid w:val="00C953C5"/>
    <w:rsid w:val="00C96D45"/>
    <w:rsid w:val="00CA013F"/>
    <w:rsid w:val="00CA29A1"/>
    <w:rsid w:val="00CA6793"/>
    <w:rsid w:val="00CA7EEA"/>
    <w:rsid w:val="00CC0459"/>
    <w:rsid w:val="00CC418A"/>
    <w:rsid w:val="00CC45C0"/>
    <w:rsid w:val="00CD04D0"/>
    <w:rsid w:val="00CD09B8"/>
    <w:rsid w:val="00CD1898"/>
    <w:rsid w:val="00CD2676"/>
    <w:rsid w:val="00CD2EEF"/>
    <w:rsid w:val="00CD35FB"/>
    <w:rsid w:val="00CD5B43"/>
    <w:rsid w:val="00CD6338"/>
    <w:rsid w:val="00CD6C64"/>
    <w:rsid w:val="00CE23CF"/>
    <w:rsid w:val="00CE645D"/>
    <w:rsid w:val="00CF767E"/>
    <w:rsid w:val="00D05A5C"/>
    <w:rsid w:val="00D1477C"/>
    <w:rsid w:val="00D15A04"/>
    <w:rsid w:val="00D1721F"/>
    <w:rsid w:val="00D22243"/>
    <w:rsid w:val="00D26235"/>
    <w:rsid w:val="00D27843"/>
    <w:rsid w:val="00D30742"/>
    <w:rsid w:val="00D342EC"/>
    <w:rsid w:val="00D34FA3"/>
    <w:rsid w:val="00D41345"/>
    <w:rsid w:val="00D42592"/>
    <w:rsid w:val="00D44F57"/>
    <w:rsid w:val="00D453E9"/>
    <w:rsid w:val="00D55E2C"/>
    <w:rsid w:val="00D60E92"/>
    <w:rsid w:val="00D6178B"/>
    <w:rsid w:val="00D6207C"/>
    <w:rsid w:val="00D64AD9"/>
    <w:rsid w:val="00D67B33"/>
    <w:rsid w:val="00D7203C"/>
    <w:rsid w:val="00D77FB6"/>
    <w:rsid w:val="00D84FA0"/>
    <w:rsid w:val="00D85BF6"/>
    <w:rsid w:val="00D85FB3"/>
    <w:rsid w:val="00D910C4"/>
    <w:rsid w:val="00D928E7"/>
    <w:rsid w:val="00D92BA5"/>
    <w:rsid w:val="00D97A40"/>
    <w:rsid w:val="00DA527C"/>
    <w:rsid w:val="00DB0795"/>
    <w:rsid w:val="00DB08F6"/>
    <w:rsid w:val="00DB17DD"/>
    <w:rsid w:val="00DB3487"/>
    <w:rsid w:val="00DB75F3"/>
    <w:rsid w:val="00DC1847"/>
    <w:rsid w:val="00DC1F14"/>
    <w:rsid w:val="00DC3261"/>
    <w:rsid w:val="00DC7996"/>
    <w:rsid w:val="00DD1EB2"/>
    <w:rsid w:val="00DE13E2"/>
    <w:rsid w:val="00DE1A65"/>
    <w:rsid w:val="00DE351F"/>
    <w:rsid w:val="00DE63DF"/>
    <w:rsid w:val="00DF0906"/>
    <w:rsid w:val="00DF6A80"/>
    <w:rsid w:val="00E02D4A"/>
    <w:rsid w:val="00E03B53"/>
    <w:rsid w:val="00E065D0"/>
    <w:rsid w:val="00E158C6"/>
    <w:rsid w:val="00E22A0E"/>
    <w:rsid w:val="00E25D7C"/>
    <w:rsid w:val="00E2631D"/>
    <w:rsid w:val="00E27E3A"/>
    <w:rsid w:val="00E27E84"/>
    <w:rsid w:val="00E32963"/>
    <w:rsid w:val="00E33FAB"/>
    <w:rsid w:val="00E36EC8"/>
    <w:rsid w:val="00E41218"/>
    <w:rsid w:val="00E504CC"/>
    <w:rsid w:val="00E510CA"/>
    <w:rsid w:val="00E51CC5"/>
    <w:rsid w:val="00E529B3"/>
    <w:rsid w:val="00E547EA"/>
    <w:rsid w:val="00E55585"/>
    <w:rsid w:val="00E628D8"/>
    <w:rsid w:val="00E63BAC"/>
    <w:rsid w:val="00E66F72"/>
    <w:rsid w:val="00E71FD7"/>
    <w:rsid w:val="00E76B6A"/>
    <w:rsid w:val="00E8069B"/>
    <w:rsid w:val="00E8489D"/>
    <w:rsid w:val="00E86980"/>
    <w:rsid w:val="00E87881"/>
    <w:rsid w:val="00E9374B"/>
    <w:rsid w:val="00EA28DD"/>
    <w:rsid w:val="00EA504D"/>
    <w:rsid w:val="00EB1325"/>
    <w:rsid w:val="00EB2CA3"/>
    <w:rsid w:val="00EB32BA"/>
    <w:rsid w:val="00EC0111"/>
    <w:rsid w:val="00EC43B7"/>
    <w:rsid w:val="00ED0528"/>
    <w:rsid w:val="00ED2809"/>
    <w:rsid w:val="00ED354F"/>
    <w:rsid w:val="00ED4460"/>
    <w:rsid w:val="00ED67F5"/>
    <w:rsid w:val="00ED71E2"/>
    <w:rsid w:val="00EF0AF0"/>
    <w:rsid w:val="00F1116B"/>
    <w:rsid w:val="00F1677C"/>
    <w:rsid w:val="00F200C6"/>
    <w:rsid w:val="00F23DD5"/>
    <w:rsid w:val="00F23F92"/>
    <w:rsid w:val="00F27422"/>
    <w:rsid w:val="00F304E8"/>
    <w:rsid w:val="00F32B38"/>
    <w:rsid w:val="00F337EB"/>
    <w:rsid w:val="00F36382"/>
    <w:rsid w:val="00F37FDF"/>
    <w:rsid w:val="00F41735"/>
    <w:rsid w:val="00F4203F"/>
    <w:rsid w:val="00F43173"/>
    <w:rsid w:val="00F43B4C"/>
    <w:rsid w:val="00F62FFE"/>
    <w:rsid w:val="00F76424"/>
    <w:rsid w:val="00F824EA"/>
    <w:rsid w:val="00F87FD2"/>
    <w:rsid w:val="00F909CB"/>
    <w:rsid w:val="00F96BD4"/>
    <w:rsid w:val="00FA51FB"/>
    <w:rsid w:val="00FB3CB7"/>
    <w:rsid w:val="00FC0D00"/>
    <w:rsid w:val="00FD3DD3"/>
    <w:rsid w:val="00FE00E6"/>
    <w:rsid w:val="00FE043E"/>
    <w:rsid w:val="00FE04BC"/>
    <w:rsid w:val="00FE1ADF"/>
    <w:rsid w:val="00FE23B8"/>
    <w:rsid w:val="00FE75B8"/>
    <w:rsid w:val="00FF06B9"/>
    <w:rsid w:val="00FF3418"/>
    <w:rsid w:val="00FF35A5"/>
    <w:rsid w:val="00FF4C91"/>
    <w:rsid w:val="00FF6EA8"/>
    <w:rsid w:val="00FF7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692D324-24AC-470E-A841-3D183E04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927"/>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5F2B9C"/>
    <w:rPr>
      <w:color w:val="0000FF" w:themeColor="hyperlink"/>
      <w:u w:val="single"/>
    </w:rPr>
  </w:style>
  <w:style w:type="paragraph" w:styleId="ListParagraph">
    <w:name w:val="List Paragraph"/>
    <w:basedOn w:val="Normal"/>
    <w:uiPriority w:val="34"/>
    <w:qFormat/>
    <w:rsid w:val="009D07E1"/>
    <w:pPr>
      <w:numPr>
        <w:numId w:val="13"/>
      </w:numPr>
      <w:spacing w:before="40" w:after="180"/>
      <w:contextualSpacing/>
      <w:jc w:val="both"/>
    </w:pPr>
    <w:rPr>
      <w:rFonts w:cs="Arial"/>
      <w:sz w:val="18"/>
      <w:szCs w:val="18"/>
    </w:rPr>
  </w:style>
  <w:style w:type="paragraph" w:customStyle="1" w:styleId="GMCNumbertext">
    <w:name w:val="GMC Number text"/>
    <w:basedOn w:val="Normal"/>
    <w:link w:val="GMCNumbertextChar"/>
    <w:rsid w:val="00BC644F"/>
    <w:pPr>
      <w:numPr>
        <w:numId w:val="1"/>
      </w:numPr>
      <w:spacing w:after="280" w:line="320" w:lineRule="exact"/>
    </w:pPr>
    <w:rPr>
      <w:rFonts w:ascii="Tahoma" w:eastAsia="Times New Roman" w:hAnsi="Tahoma" w:cs="Times New Roman"/>
      <w:color w:val="000000"/>
    </w:rPr>
  </w:style>
  <w:style w:type="character" w:customStyle="1" w:styleId="GMCNumbertextChar">
    <w:name w:val="GMC Number text Char"/>
    <w:link w:val="GMCNumbertext"/>
    <w:rsid w:val="00BC644F"/>
    <w:rPr>
      <w:rFonts w:ascii="Tahoma" w:eastAsia="Times New Roman" w:hAnsi="Tahoma" w:cs="Times New Roman"/>
      <w:color w:val="000000"/>
    </w:rPr>
  </w:style>
  <w:style w:type="paragraph" w:styleId="ListNumber">
    <w:name w:val="List Number"/>
    <w:basedOn w:val="Normal"/>
    <w:rsid w:val="00BC644F"/>
    <w:pPr>
      <w:numPr>
        <w:numId w:val="2"/>
      </w:numPr>
      <w:spacing w:after="280" w:line="320" w:lineRule="exact"/>
    </w:pPr>
    <w:rPr>
      <w:rFonts w:ascii="Tahoma" w:eastAsia="Times New Roman" w:hAnsi="Tahoma" w:cs="Times New Roman"/>
      <w:color w:val="000000"/>
    </w:rPr>
  </w:style>
  <w:style w:type="paragraph" w:customStyle="1" w:styleId="Default">
    <w:name w:val="Default"/>
    <w:rsid w:val="00BC644F"/>
    <w:pPr>
      <w:autoSpaceDE w:val="0"/>
      <w:autoSpaceDN w:val="0"/>
      <w:adjustRightInd w:val="0"/>
    </w:pPr>
    <w:rPr>
      <w:rFonts w:ascii="Tahoma" w:eastAsia="Times New Roman" w:hAnsi="Tahoma" w:cs="Tahoma"/>
      <w:color w:val="000000"/>
      <w:lang w:eastAsia="en-GB"/>
    </w:rPr>
  </w:style>
  <w:style w:type="paragraph" w:styleId="BodyTextIndent">
    <w:name w:val="Body Text Indent"/>
    <w:basedOn w:val="Normal"/>
    <w:link w:val="BodyTextIndentChar"/>
    <w:uiPriority w:val="99"/>
    <w:unhideWhenUsed/>
    <w:rsid w:val="00BC644F"/>
    <w:pPr>
      <w:spacing w:before="40" w:after="120" w:line="288" w:lineRule="auto"/>
      <w:ind w:left="283"/>
      <w:jc w:val="both"/>
    </w:pPr>
    <w:rPr>
      <w:rFonts w:ascii="Times New Roman" w:eastAsia="Times New Roman" w:hAnsi="Times New Roman" w:cs="Times New Roman"/>
      <w:sz w:val="22"/>
      <w:szCs w:val="22"/>
      <w:lang w:eastAsia="en-GB"/>
    </w:rPr>
  </w:style>
  <w:style w:type="character" w:customStyle="1" w:styleId="BodyTextIndentChar">
    <w:name w:val="Body Text Indent Char"/>
    <w:basedOn w:val="DefaultParagraphFont"/>
    <w:link w:val="BodyTextIndent"/>
    <w:uiPriority w:val="99"/>
    <w:rsid w:val="00BC644F"/>
    <w:rPr>
      <w:rFonts w:ascii="Times New Roman" w:eastAsia="Times New Roman" w:hAnsi="Times New Roman" w:cs="Times New Roman"/>
      <w:sz w:val="22"/>
      <w:szCs w:val="22"/>
      <w:lang w:eastAsia="en-GB"/>
    </w:rPr>
  </w:style>
  <w:style w:type="character" w:customStyle="1" w:styleId="Style2">
    <w:name w:val="Style2"/>
    <w:uiPriority w:val="1"/>
    <w:rsid w:val="00BC644F"/>
    <w:rPr>
      <w:rFonts w:ascii="Arial" w:hAnsi="Arial"/>
      <w:sz w:val="22"/>
    </w:rPr>
  </w:style>
  <w:style w:type="table" w:styleId="TableGrid">
    <w:name w:val="Table Grid"/>
    <w:basedOn w:val="TableNormal"/>
    <w:uiPriority w:val="59"/>
    <w:rsid w:val="00F3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F1F"/>
    <w:rPr>
      <w:sz w:val="18"/>
      <w:szCs w:val="18"/>
    </w:rPr>
  </w:style>
  <w:style w:type="paragraph" w:styleId="CommentText">
    <w:name w:val="annotation text"/>
    <w:basedOn w:val="Normal"/>
    <w:link w:val="CommentTextChar"/>
    <w:uiPriority w:val="99"/>
    <w:unhideWhenUsed/>
    <w:rsid w:val="008E4F1F"/>
  </w:style>
  <w:style w:type="character" w:customStyle="1" w:styleId="CommentTextChar">
    <w:name w:val="Comment Text Char"/>
    <w:basedOn w:val="DefaultParagraphFont"/>
    <w:link w:val="CommentText"/>
    <w:uiPriority w:val="99"/>
    <w:rsid w:val="008E4F1F"/>
  </w:style>
  <w:style w:type="paragraph" w:styleId="CommentSubject">
    <w:name w:val="annotation subject"/>
    <w:basedOn w:val="CommentText"/>
    <w:next w:val="CommentText"/>
    <w:link w:val="CommentSubjectChar"/>
    <w:uiPriority w:val="99"/>
    <w:semiHidden/>
    <w:unhideWhenUsed/>
    <w:rsid w:val="008E4F1F"/>
    <w:rPr>
      <w:b/>
      <w:bCs/>
      <w:sz w:val="20"/>
      <w:szCs w:val="20"/>
    </w:rPr>
  </w:style>
  <w:style w:type="character" w:customStyle="1" w:styleId="CommentSubjectChar">
    <w:name w:val="Comment Subject Char"/>
    <w:basedOn w:val="CommentTextChar"/>
    <w:link w:val="CommentSubject"/>
    <w:uiPriority w:val="99"/>
    <w:semiHidden/>
    <w:rsid w:val="008E4F1F"/>
    <w:rPr>
      <w:b/>
      <w:bCs/>
      <w:sz w:val="20"/>
      <w:szCs w:val="20"/>
    </w:rPr>
  </w:style>
  <w:style w:type="paragraph" w:styleId="Revision">
    <w:name w:val="Revision"/>
    <w:hidden/>
    <w:uiPriority w:val="99"/>
    <w:semiHidden/>
    <w:rsid w:val="00E36EC8"/>
  </w:style>
  <w:style w:type="paragraph" w:styleId="NoSpacing">
    <w:name w:val="No Spacing"/>
    <w:uiPriority w:val="1"/>
    <w:qFormat/>
    <w:rsid w:val="0030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469">
      <w:bodyDiv w:val="1"/>
      <w:marLeft w:val="0"/>
      <w:marRight w:val="0"/>
      <w:marTop w:val="0"/>
      <w:marBottom w:val="0"/>
      <w:divBdr>
        <w:top w:val="none" w:sz="0" w:space="0" w:color="auto"/>
        <w:left w:val="none" w:sz="0" w:space="0" w:color="auto"/>
        <w:bottom w:val="none" w:sz="0" w:space="0" w:color="auto"/>
        <w:right w:val="none" w:sz="0" w:space="0" w:color="auto"/>
      </w:divBdr>
    </w:div>
    <w:div w:id="148595139">
      <w:bodyDiv w:val="1"/>
      <w:marLeft w:val="0"/>
      <w:marRight w:val="0"/>
      <w:marTop w:val="0"/>
      <w:marBottom w:val="0"/>
      <w:divBdr>
        <w:top w:val="none" w:sz="0" w:space="0" w:color="auto"/>
        <w:left w:val="none" w:sz="0" w:space="0" w:color="auto"/>
        <w:bottom w:val="none" w:sz="0" w:space="0" w:color="auto"/>
        <w:right w:val="none" w:sz="0" w:space="0" w:color="auto"/>
      </w:divBdr>
    </w:div>
    <w:div w:id="360326712">
      <w:bodyDiv w:val="1"/>
      <w:marLeft w:val="0"/>
      <w:marRight w:val="0"/>
      <w:marTop w:val="0"/>
      <w:marBottom w:val="0"/>
      <w:divBdr>
        <w:top w:val="none" w:sz="0" w:space="0" w:color="auto"/>
        <w:left w:val="none" w:sz="0" w:space="0" w:color="auto"/>
        <w:bottom w:val="none" w:sz="0" w:space="0" w:color="auto"/>
        <w:right w:val="none" w:sz="0" w:space="0" w:color="auto"/>
      </w:divBdr>
    </w:div>
    <w:div w:id="577206377">
      <w:bodyDiv w:val="1"/>
      <w:marLeft w:val="0"/>
      <w:marRight w:val="0"/>
      <w:marTop w:val="0"/>
      <w:marBottom w:val="0"/>
      <w:divBdr>
        <w:top w:val="none" w:sz="0" w:space="0" w:color="auto"/>
        <w:left w:val="none" w:sz="0" w:space="0" w:color="auto"/>
        <w:bottom w:val="none" w:sz="0" w:space="0" w:color="auto"/>
        <w:right w:val="none" w:sz="0" w:space="0" w:color="auto"/>
      </w:divBdr>
    </w:div>
    <w:div w:id="585841524">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7772023">
      <w:bodyDiv w:val="1"/>
      <w:marLeft w:val="0"/>
      <w:marRight w:val="0"/>
      <w:marTop w:val="0"/>
      <w:marBottom w:val="0"/>
      <w:divBdr>
        <w:top w:val="none" w:sz="0" w:space="0" w:color="auto"/>
        <w:left w:val="none" w:sz="0" w:space="0" w:color="auto"/>
        <w:bottom w:val="none" w:sz="0" w:space="0" w:color="auto"/>
        <w:right w:val="none" w:sz="0" w:space="0" w:color="auto"/>
      </w:divBdr>
    </w:div>
    <w:div w:id="855535396">
      <w:bodyDiv w:val="1"/>
      <w:marLeft w:val="0"/>
      <w:marRight w:val="0"/>
      <w:marTop w:val="0"/>
      <w:marBottom w:val="0"/>
      <w:divBdr>
        <w:top w:val="none" w:sz="0" w:space="0" w:color="auto"/>
        <w:left w:val="none" w:sz="0" w:space="0" w:color="auto"/>
        <w:bottom w:val="none" w:sz="0" w:space="0" w:color="auto"/>
        <w:right w:val="none" w:sz="0" w:space="0" w:color="auto"/>
      </w:divBdr>
    </w:div>
    <w:div w:id="918755055">
      <w:bodyDiv w:val="1"/>
      <w:marLeft w:val="0"/>
      <w:marRight w:val="0"/>
      <w:marTop w:val="0"/>
      <w:marBottom w:val="0"/>
      <w:divBdr>
        <w:top w:val="none" w:sz="0" w:space="0" w:color="auto"/>
        <w:left w:val="none" w:sz="0" w:space="0" w:color="auto"/>
        <w:bottom w:val="none" w:sz="0" w:space="0" w:color="auto"/>
        <w:right w:val="none" w:sz="0" w:space="0" w:color="auto"/>
      </w:divBdr>
    </w:div>
    <w:div w:id="1029447969">
      <w:bodyDiv w:val="1"/>
      <w:marLeft w:val="0"/>
      <w:marRight w:val="0"/>
      <w:marTop w:val="0"/>
      <w:marBottom w:val="0"/>
      <w:divBdr>
        <w:top w:val="none" w:sz="0" w:space="0" w:color="auto"/>
        <w:left w:val="none" w:sz="0" w:space="0" w:color="auto"/>
        <w:bottom w:val="none" w:sz="0" w:space="0" w:color="auto"/>
        <w:right w:val="none" w:sz="0" w:space="0" w:color="auto"/>
      </w:divBdr>
    </w:div>
    <w:div w:id="1096948071">
      <w:bodyDiv w:val="1"/>
      <w:marLeft w:val="0"/>
      <w:marRight w:val="0"/>
      <w:marTop w:val="0"/>
      <w:marBottom w:val="0"/>
      <w:divBdr>
        <w:top w:val="none" w:sz="0" w:space="0" w:color="auto"/>
        <w:left w:val="none" w:sz="0" w:space="0" w:color="auto"/>
        <w:bottom w:val="none" w:sz="0" w:space="0" w:color="auto"/>
        <w:right w:val="none" w:sz="0" w:space="0" w:color="auto"/>
      </w:divBdr>
    </w:div>
    <w:div w:id="1238637548">
      <w:bodyDiv w:val="1"/>
      <w:marLeft w:val="0"/>
      <w:marRight w:val="0"/>
      <w:marTop w:val="0"/>
      <w:marBottom w:val="0"/>
      <w:divBdr>
        <w:top w:val="none" w:sz="0" w:space="0" w:color="auto"/>
        <w:left w:val="none" w:sz="0" w:space="0" w:color="auto"/>
        <w:bottom w:val="none" w:sz="0" w:space="0" w:color="auto"/>
        <w:right w:val="none" w:sz="0" w:space="0" w:color="auto"/>
      </w:divBdr>
    </w:div>
    <w:div w:id="1394505366">
      <w:bodyDiv w:val="1"/>
      <w:marLeft w:val="0"/>
      <w:marRight w:val="0"/>
      <w:marTop w:val="0"/>
      <w:marBottom w:val="0"/>
      <w:divBdr>
        <w:top w:val="none" w:sz="0" w:space="0" w:color="auto"/>
        <w:left w:val="none" w:sz="0" w:space="0" w:color="auto"/>
        <w:bottom w:val="none" w:sz="0" w:space="0" w:color="auto"/>
        <w:right w:val="none" w:sz="0" w:space="0" w:color="auto"/>
      </w:divBdr>
    </w:div>
    <w:div w:id="1668090378">
      <w:bodyDiv w:val="1"/>
      <w:marLeft w:val="0"/>
      <w:marRight w:val="0"/>
      <w:marTop w:val="0"/>
      <w:marBottom w:val="0"/>
      <w:divBdr>
        <w:top w:val="none" w:sz="0" w:space="0" w:color="auto"/>
        <w:left w:val="none" w:sz="0" w:space="0" w:color="auto"/>
        <w:bottom w:val="none" w:sz="0" w:space="0" w:color="auto"/>
        <w:right w:val="none" w:sz="0" w:space="0" w:color="auto"/>
      </w:divBdr>
    </w:div>
    <w:div w:id="1722634298">
      <w:bodyDiv w:val="1"/>
      <w:marLeft w:val="0"/>
      <w:marRight w:val="0"/>
      <w:marTop w:val="0"/>
      <w:marBottom w:val="0"/>
      <w:divBdr>
        <w:top w:val="none" w:sz="0" w:space="0" w:color="auto"/>
        <w:left w:val="none" w:sz="0" w:space="0" w:color="auto"/>
        <w:bottom w:val="none" w:sz="0" w:space="0" w:color="auto"/>
        <w:right w:val="none" w:sz="0" w:space="0" w:color="auto"/>
      </w:divBdr>
    </w:div>
    <w:div w:id="1745027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47BB-940A-4572-B098-F04C2906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Harrison</dc:creator>
  <cp:lastModifiedBy>Michele Hannon</cp:lastModifiedBy>
  <cp:revision>2</cp:revision>
  <cp:lastPrinted>2019-01-24T15:06:00Z</cp:lastPrinted>
  <dcterms:created xsi:type="dcterms:W3CDTF">2019-01-24T15:30:00Z</dcterms:created>
  <dcterms:modified xsi:type="dcterms:W3CDTF">2019-01-24T15:30:00Z</dcterms:modified>
</cp:coreProperties>
</file>