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F8C944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434F3F5E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</w:t>
            </w:r>
            <w:proofErr w:type="gramStart"/>
            <w:r w:rsidR="00EE5255" w:rsidRPr="00EE5255">
              <w:rPr>
                <w:rFonts w:cs="Arial"/>
                <w:sz w:val="20"/>
                <w:szCs w:val="20"/>
              </w:rPr>
              <w:t>,  and</w:t>
            </w:r>
            <w:proofErr w:type="gramEnd"/>
            <w:r w:rsidR="00EE5255" w:rsidRPr="00EE5255">
              <w:rPr>
                <w:rFonts w:cs="Arial"/>
                <w:sz w:val="20"/>
                <w:szCs w:val="20"/>
              </w:rPr>
              <w:t xml:space="preserve">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352B8E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12E2D440" w14:textId="77777777" w:rsidR="00352B8E" w:rsidRDefault="00352B8E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To be politically a</w:t>
            </w:r>
            <w:r>
              <w:rPr>
                <w:rFonts w:cs="Arial"/>
                <w:szCs w:val="22"/>
              </w:rPr>
              <w:t>ware</w:t>
            </w:r>
            <w:r w:rsidRPr="007777A0">
              <w:rPr>
                <w:rFonts w:cs="Arial"/>
                <w:szCs w:val="22"/>
              </w:rPr>
              <w:t xml:space="preserve"> with the ability to communicate </w:t>
            </w:r>
            <w:r>
              <w:rPr>
                <w:rFonts w:cs="Arial"/>
                <w:szCs w:val="22"/>
              </w:rPr>
              <w:t xml:space="preserve">complex </w:t>
            </w:r>
            <w:r w:rsidRPr="007777A0">
              <w:rPr>
                <w:rFonts w:cs="Arial"/>
                <w:szCs w:val="22"/>
              </w:rPr>
              <w:t>information, both written and verbally</w:t>
            </w:r>
          </w:p>
          <w:p w14:paraId="22F54AFB" w14:textId="78B95DE0" w:rsidR="00352B8E" w:rsidRDefault="00352B8E" w:rsidP="00A56D3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Knowledge of social care challenges, including during the Covid-19 pandemic</w:t>
            </w:r>
          </w:p>
          <w:p w14:paraId="374A4DB6" w14:textId="694B4295" w:rsidR="00352B8E" w:rsidRDefault="00352B8E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analyse complex data and take action base</w:t>
            </w:r>
            <w:r>
              <w:rPr>
                <w:rFonts w:cs="Arial"/>
                <w:szCs w:val="22"/>
              </w:rPr>
              <w:t>d and make recommendations</w:t>
            </w:r>
          </w:p>
          <w:p w14:paraId="07463575" w14:textId="2CD627F1" w:rsidR="00352B8E" w:rsidRDefault="00352B8E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Strong leadership skills</w:t>
            </w:r>
          </w:p>
          <w:p w14:paraId="034EDE59" w14:textId="77777777" w:rsidR="00352B8E" w:rsidRDefault="00352B8E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analysis complex project issues and make decisions based own judgment</w:t>
            </w:r>
          </w:p>
          <w:p w14:paraId="3D37E571" w14:textId="77777777" w:rsidR="00352B8E" w:rsidRDefault="00352B8E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Excellent time management skills</w:t>
            </w:r>
          </w:p>
          <w:p w14:paraId="42FCFEE5" w14:textId="2469FE16" w:rsidR="00352B8E" w:rsidRPr="00A56D3B" w:rsidRDefault="00352B8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777A0">
              <w:rPr>
                <w:rFonts w:cs="Arial"/>
                <w:szCs w:val="22"/>
              </w:rPr>
              <w:t>Ability to employ highly develop persuasive and negotiation skills to deliver projects</w:t>
            </w:r>
          </w:p>
        </w:tc>
        <w:tc>
          <w:tcPr>
            <w:tcW w:w="3825" w:type="dxa"/>
            <w:shd w:val="clear" w:color="auto" w:fill="auto"/>
          </w:tcPr>
          <w:p w14:paraId="705B6414" w14:textId="77777777" w:rsidR="00352B8E" w:rsidRDefault="00856AC4" w:rsidP="00A56D3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Previous NHS or social care staff management experience/supervision</w:t>
            </w:r>
          </w:p>
          <w:p w14:paraId="7D1B52CA" w14:textId="77777777" w:rsidR="00856AC4" w:rsidRDefault="00856AC4" w:rsidP="00A56D3B">
            <w:pPr>
              <w:spacing w:before="60" w:after="60"/>
              <w:rPr>
                <w:rFonts w:cs="Arial"/>
                <w:szCs w:val="22"/>
              </w:rPr>
            </w:pPr>
          </w:p>
          <w:p w14:paraId="667033CA" w14:textId="77777777" w:rsidR="00856AC4" w:rsidRDefault="00856AC4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Experience of project management tools and techniques</w:t>
            </w:r>
          </w:p>
          <w:p w14:paraId="34E71E8A" w14:textId="77777777" w:rsidR="00856AC4" w:rsidRDefault="00856AC4" w:rsidP="00A56D3B">
            <w:pPr>
              <w:spacing w:before="60" w:after="60"/>
              <w:rPr>
                <w:rFonts w:cs="Arial"/>
                <w:szCs w:val="22"/>
              </w:rPr>
            </w:pPr>
          </w:p>
          <w:p w14:paraId="1E4F8E37" w14:textId="77777777" w:rsidR="00856AC4" w:rsidRDefault="00856AC4" w:rsidP="00A56D3B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 xml:space="preserve">Experience of  developing and implementing new systems, procedures </w:t>
            </w:r>
            <w:r>
              <w:rPr>
                <w:rFonts w:cs="Arial"/>
                <w:szCs w:val="22"/>
              </w:rPr>
              <w:t xml:space="preserve">and processes </w:t>
            </w:r>
            <w:r w:rsidRPr="007777A0">
              <w:rPr>
                <w:rFonts w:cs="Arial"/>
                <w:szCs w:val="22"/>
              </w:rPr>
              <w:t>within an organisation</w:t>
            </w:r>
          </w:p>
          <w:p w14:paraId="7ECB7D9D" w14:textId="6D0F9D55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777A0">
              <w:rPr>
                <w:rFonts w:cs="Arial"/>
                <w:szCs w:val="22"/>
              </w:rPr>
              <w:t xml:space="preserve">Experience of working </w:t>
            </w:r>
            <w:r>
              <w:rPr>
                <w:rFonts w:cs="Arial"/>
                <w:szCs w:val="22"/>
              </w:rPr>
              <w:t xml:space="preserve">with partners from a variety of backgrounds such as health and social care, the voluntary/charity sectors and </w:t>
            </w:r>
            <w:r w:rsidRPr="007777A0">
              <w:rPr>
                <w:rFonts w:cs="Arial"/>
                <w:szCs w:val="22"/>
              </w:rPr>
              <w:t xml:space="preserve"> managing relationships with key stakeholders</w:t>
            </w:r>
          </w:p>
        </w:tc>
        <w:tc>
          <w:tcPr>
            <w:tcW w:w="2538" w:type="dxa"/>
          </w:tcPr>
          <w:p w14:paraId="5F9EFBDA" w14:textId="0AB56E13" w:rsidR="00352B8E" w:rsidRPr="00A56D3B" w:rsidRDefault="00352B8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352B8E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352B8E" w:rsidRPr="00A56D3B" w:rsidRDefault="00352B8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352B8E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58F122BC" w:rsidR="00352B8E" w:rsidRPr="00A56D3B" w:rsidRDefault="00C52A8D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Understanding of research within a health or social care setting</w:t>
            </w:r>
          </w:p>
        </w:tc>
        <w:tc>
          <w:tcPr>
            <w:tcW w:w="3825" w:type="dxa"/>
            <w:shd w:val="clear" w:color="auto" w:fill="auto"/>
          </w:tcPr>
          <w:p w14:paraId="32A35E47" w14:textId="0FA310F7" w:rsidR="00352B8E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of research methodology</w:t>
            </w:r>
          </w:p>
        </w:tc>
        <w:tc>
          <w:tcPr>
            <w:tcW w:w="2538" w:type="dxa"/>
          </w:tcPr>
          <w:p w14:paraId="4064A235" w14:textId="1348C232" w:rsidR="00352B8E" w:rsidRPr="00A56D3B" w:rsidRDefault="00352B8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352B8E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352B8E" w:rsidRPr="00A56D3B" w:rsidRDefault="00352B8E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352B8E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7A7E8981" w:rsidR="00352B8E" w:rsidRPr="00A56D3B" w:rsidRDefault="00352B8E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5" w:type="dxa"/>
            <w:shd w:val="clear" w:color="auto" w:fill="auto"/>
          </w:tcPr>
          <w:p w14:paraId="6B4EE223" w14:textId="2DB4EA3F" w:rsidR="00352B8E" w:rsidRPr="00A56D3B" w:rsidRDefault="00856AC4" w:rsidP="00856AC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2"/>
              </w:rPr>
              <w:t>Previous NHS or social care staff teaching experience/supervision</w:t>
            </w:r>
          </w:p>
        </w:tc>
        <w:tc>
          <w:tcPr>
            <w:tcW w:w="2538" w:type="dxa"/>
          </w:tcPr>
          <w:p w14:paraId="4C46589E" w14:textId="694EC1BE" w:rsidR="00352B8E" w:rsidRPr="00A56D3B" w:rsidRDefault="00352B8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352B8E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352B8E" w:rsidRPr="00EE5255" w:rsidRDefault="00352B8E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856AC4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4622C987" w14:textId="28A54FD7" w:rsidR="00856AC4" w:rsidRPr="006004C5" w:rsidRDefault="00856AC4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777A0">
              <w:rPr>
                <w:rFonts w:cs="Arial"/>
                <w:szCs w:val="22"/>
              </w:rPr>
              <w:t>Ability to work under pressure and meet deadlines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7136DD1D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39617475" w14:textId="60CD8CAF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work unsupervised and make decisions within agreed boundaries</w:t>
            </w:r>
          </w:p>
        </w:tc>
        <w:tc>
          <w:tcPr>
            <w:tcW w:w="3825" w:type="dxa"/>
            <w:shd w:val="clear" w:color="auto" w:fill="auto"/>
          </w:tcPr>
          <w:p w14:paraId="6ABD751B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1428D64" w14:textId="768D6C8F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0CCADD96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67C43D9C" w14:textId="5DA3747E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work flexibly and deal with a large degree of ambiguity</w:t>
            </w:r>
          </w:p>
        </w:tc>
        <w:tc>
          <w:tcPr>
            <w:tcW w:w="3825" w:type="dxa"/>
            <w:shd w:val="clear" w:color="auto" w:fill="auto"/>
          </w:tcPr>
          <w:p w14:paraId="6E7C7AF6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388621C9" w14:textId="2A8AAEE0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04567D7E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17EA7411" w14:textId="05190E70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Supporting colleagues to deal with ambiguity and changing priorities</w:t>
            </w:r>
          </w:p>
        </w:tc>
        <w:tc>
          <w:tcPr>
            <w:tcW w:w="3825" w:type="dxa"/>
            <w:shd w:val="clear" w:color="auto" w:fill="auto"/>
          </w:tcPr>
          <w:p w14:paraId="1873788F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0E4CB43" w14:textId="256383D8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30ACB00C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57BD58A6" w14:textId="6BEA8F01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work to broad health and social care principles, targets and key performance milestones and able to work across organisations.</w:t>
            </w:r>
          </w:p>
        </w:tc>
        <w:tc>
          <w:tcPr>
            <w:tcW w:w="3825" w:type="dxa"/>
            <w:shd w:val="clear" w:color="auto" w:fill="auto"/>
          </w:tcPr>
          <w:p w14:paraId="15FECA0C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A99FDDB" w14:textId="75C5BF58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32B6BE63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410E8F7D" w14:textId="098F8A21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manage difficult and often competing demands and re-prioritise your activities and those you manage</w:t>
            </w:r>
          </w:p>
        </w:tc>
        <w:tc>
          <w:tcPr>
            <w:tcW w:w="3825" w:type="dxa"/>
            <w:shd w:val="clear" w:color="auto" w:fill="auto"/>
          </w:tcPr>
          <w:p w14:paraId="66A38A45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AFC78E5" w14:textId="1DF9397C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3A56757A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48598728" w14:textId="21E5A94E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Consistently high attention to detail and quality of work</w:t>
            </w:r>
          </w:p>
        </w:tc>
        <w:tc>
          <w:tcPr>
            <w:tcW w:w="3825" w:type="dxa"/>
            <w:shd w:val="clear" w:color="auto" w:fill="auto"/>
          </w:tcPr>
          <w:p w14:paraId="2DA2DF40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C5B6C4C" w14:textId="7D1F0E74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2429C8B7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2299156F" w14:textId="7205DAE9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work as a member of a team</w:t>
            </w:r>
          </w:p>
        </w:tc>
        <w:tc>
          <w:tcPr>
            <w:tcW w:w="3825" w:type="dxa"/>
            <w:shd w:val="clear" w:color="auto" w:fill="auto"/>
          </w:tcPr>
          <w:p w14:paraId="65D80496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B34D05A" w14:textId="2B7A7220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2B8257F5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76DB62F6" w14:textId="42751883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establish and maintain good working relationships with people from a wide range of professional backgrounds</w:t>
            </w:r>
          </w:p>
        </w:tc>
        <w:tc>
          <w:tcPr>
            <w:tcW w:w="3825" w:type="dxa"/>
            <w:shd w:val="clear" w:color="auto" w:fill="auto"/>
          </w:tcPr>
          <w:p w14:paraId="59706E5A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9465D9E" w14:textId="13790461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856AC4" w:rsidRPr="00A56D3B" w14:paraId="544827F7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7F87F4D6" w14:textId="6F31FF6D" w:rsidR="00856AC4" w:rsidRPr="007777A0" w:rsidRDefault="00856AC4" w:rsidP="006004C5">
            <w:pPr>
              <w:spacing w:before="60" w:after="60"/>
              <w:rPr>
                <w:rFonts w:cs="Arial"/>
                <w:szCs w:val="22"/>
              </w:rPr>
            </w:pPr>
            <w:r w:rsidRPr="007777A0">
              <w:rPr>
                <w:rFonts w:cs="Arial"/>
                <w:szCs w:val="22"/>
              </w:rPr>
              <w:t>Ability to travel throughout the South Yorkshire Region with occasional travel in England</w:t>
            </w:r>
          </w:p>
        </w:tc>
        <w:tc>
          <w:tcPr>
            <w:tcW w:w="3825" w:type="dxa"/>
            <w:shd w:val="clear" w:color="auto" w:fill="auto"/>
          </w:tcPr>
          <w:p w14:paraId="1DC8BE1D" w14:textId="77777777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3932287D" w14:textId="24A9AD0B" w:rsidR="00856AC4" w:rsidRPr="00A56D3B" w:rsidRDefault="00856AC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8B493" w14:textId="77777777" w:rsidR="009C64F1" w:rsidRDefault="009C64F1" w:rsidP="00AC72FD">
      <w:r>
        <w:separator/>
      </w:r>
    </w:p>
  </w:endnote>
  <w:endnote w:type="continuationSeparator" w:id="0">
    <w:p w14:paraId="4BEFA15A" w14:textId="77777777" w:rsidR="009C64F1" w:rsidRDefault="009C64F1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D408" w14:textId="77777777" w:rsidR="009C64F1" w:rsidRDefault="009C64F1" w:rsidP="00AC72FD">
      <w:r>
        <w:separator/>
      </w:r>
    </w:p>
  </w:footnote>
  <w:footnote w:type="continuationSeparator" w:id="0">
    <w:p w14:paraId="34C8C1C4" w14:textId="77777777" w:rsidR="009C64F1" w:rsidRDefault="009C64F1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  <w:lang w:eastAsia="en-GB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52B8E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95F6E"/>
    <w:rsid w:val="004B0ADB"/>
    <w:rsid w:val="004D73A7"/>
    <w:rsid w:val="00505A44"/>
    <w:rsid w:val="005223C6"/>
    <w:rsid w:val="00524AC1"/>
    <w:rsid w:val="00545151"/>
    <w:rsid w:val="00582F9B"/>
    <w:rsid w:val="00591A3F"/>
    <w:rsid w:val="005D14D4"/>
    <w:rsid w:val="005E694A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56AC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2A8D"/>
    <w:rsid w:val="00C57916"/>
    <w:rsid w:val="00C70A30"/>
    <w:rsid w:val="00CA2E9A"/>
    <w:rsid w:val="00CA7EEA"/>
    <w:rsid w:val="00CC5E48"/>
    <w:rsid w:val="00CD1BD6"/>
    <w:rsid w:val="00CD33F7"/>
    <w:rsid w:val="00D02625"/>
    <w:rsid w:val="00D80117"/>
    <w:rsid w:val="00D953F2"/>
    <w:rsid w:val="00D97DE5"/>
    <w:rsid w:val="00DA527C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947104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44</Bid_x0020_Number>
  </documentManagement>
</p:properties>
</file>

<file path=customXml/itemProps1.xml><?xml version="1.0" encoding="utf-8"?>
<ds:datastoreItem xmlns:ds="http://schemas.openxmlformats.org/officeDocument/2006/customXml" ds:itemID="{DE8C382E-12C9-4B62-8ACD-50FE101E6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7C51E-B9F4-462B-B634-4E53086B05E7}"/>
</file>

<file path=customXml/itemProps3.xml><?xml version="1.0" encoding="utf-8"?>
<ds:datastoreItem xmlns:ds="http://schemas.openxmlformats.org/officeDocument/2006/customXml" ds:itemID="{73BAD4EF-CCFE-4F0C-843E-F1D62996DE5E}"/>
</file>

<file path=customXml/itemProps4.xml><?xml version="1.0" encoding="utf-8"?>
<ds:datastoreItem xmlns:ds="http://schemas.openxmlformats.org/officeDocument/2006/customXml" ds:itemID="{9114A84B-5E22-494F-AF50-DE91744B8967}"/>
</file>

<file path=docProps/app.xml><?xml version="1.0" encoding="utf-8"?>
<Properties xmlns="http://schemas.openxmlformats.org/officeDocument/2006/extended-properties" xmlns:vt="http://schemas.openxmlformats.org/officeDocument/2006/docPropsVTypes">
  <Template>1872D54A</Template>
  <TotalTime>15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andrew.wild3</dc:creator>
  <cp:lastModifiedBy>Barrott, Joanne (Learning and Development)</cp:lastModifiedBy>
  <cp:revision>4</cp:revision>
  <dcterms:created xsi:type="dcterms:W3CDTF">2020-09-10T14:44:00Z</dcterms:created>
  <dcterms:modified xsi:type="dcterms:W3CDTF">2020-09-10T14:59:00Z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