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B7" w:rsidRPr="006E0C5F" w:rsidRDefault="001E6EC7">
      <w:pPr>
        <w:rPr>
          <w:rFonts w:ascii="Calibri" w:hAnsi="Calibri"/>
          <w:sz w:val="22"/>
          <w:szCs w:val="22"/>
        </w:rPr>
      </w:pPr>
      <w:r w:rsidRPr="006E0C5F">
        <w:rPr>
          <w:rFonts w:ascii="Calibri" w:hAnsi="Calibri"/>
          <w:sz w:val="22"/>
          <w:szCs w:val="22"/>
          <w:u w:val="single"/>
        </w:rPr>
        <w:t>Advanced Anaesthesia Training Blocks – West Yorkshire Locality</w:t>
      </w:r>
    </w:p>
    <w:p w:rsidR="001E6EC7" w:rsidRPr="006E0C5F" w:rsidRDefault="001E6EC7">
      <w:pPr>
        <w:rPr>
          <w:rFonts w:ascii="Calibri" w:hAnsi="Calibri"/>
          <w:sz w:val="22"/>
          <w:szCs w:val="22"/>
          <w:u w:val="single"/>
        </w:rPr>
      </w:pPr>
    </w:p>
    <w:tbl>
      <w:tblPr>
        <w:tblpPr w:leftFromText="180" w:rightFromText="180" w:horzAnchor="margin" w:tblpXSpec="center" w:tblpY="5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01"/>
        <w:gridCol w:w="1401"/>
        <w:gridCol w:w="1400"/>
        <w:gridCol w:w="1400"/>
        <w:gridCol w:w="1400"/>
        <w:gridCol w:w="1400"/>
        <w:gridCol w:w="1400"/>
        <w:gridCol w:w="1457"/>
        <w:gridCol w:w="1514"/>
      </w:tblGrid>
      <w:tr w:rsidR="004268DE" w:rsidRPr="006E0C5F" w:rsidTr="00093EB8">
        <w:tc>
          <w:tcPr>
            <w:tcW w:w="494" w:type="pct"/>
            <w:shd w:val="clear" w:color="auto" w:fill="EEECE1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EEECE1"/>
          </w:tcPr>
          <w:p w:rsidR="004268DE" w:rsidRPr="00A66E8D" w:rsidRDefault="004268DE" w:rsidP="006E0C5F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6E8D">
              <w:rPr>
                <w:rFonts w:ascii="Calibri" w:hAnsi="Calibri"/>
                <w:b/>
                <w:sz w:val="22"/>
                <w:szCs w:val="22"/>
              </w:rPr>
              <w:t>Neuro</w:t>
            </w:r>
          </w:p>
        </w:tc>
        <w:tc>
          <w:tcPr>
            <w:tcW w:w="494" w:type="pct"/>
            <w:shd w:val="clear" w:color="auto" w:fill="EEECE1"/>
          </w:tcPr>
          <w:p w:rsidR="004268DE" w:rsidRPr="00A66E8D" w:rsidRDefault="004268DE" w:rsidP="006E0C5F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6E8D">
              <w:rPr>
                <w:rFonts w:ascii="Calibri" w:hAnsi="Calibri"/>
                <w:b/>
                <w:sz w:val="22"/>
                <w:szCs w:val="22"/>
              </w:rPr>
              <w:t>Cardio-thoracic</w:t>
            </w:r>
          </w:p>
        </w:tc>
        <w:tc>
          <w:tcPr>
            <w:tcW w:w="494" w:type="pct"/>
            <w:shd w:val="clear" w:color="auto" w:fill="EEECE1"/>
          </w:tcPr>
          <w:p w:rsidR="004268DE" w:rsidRPr="00A66E8D" w:rsidRDefault="004268DE" w:rsidP="006E0C5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ICM</w:t>
            </w:r>
          </w:p>
        </w:tc>
        <w:tc>
          <w:tcPr>
            <w:tcW w:w="494" w:type="pct"/>
            <w:shd w:val="clear" w:color="auto" w:fill="EEECE1"/>
          </w:tcPr>
          <w:p w:rsidR="004268DE" w:rsidRPr="00A66E8D" w:rsidRDefault="004268DE" w:rsidP="006E0C5F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6E8D">
              <w:rPr>
                <w:rFonts w:ascii="Calibri" w:hAnsi="Calibri"/>
                <w:b/>
                <w:sz w:val="22"/>
                <w:szCs w:val="22"/>
              </w:rPr>
              <w:t>Obs</w:t>
            </w:r>
          </w:p>
        </w:tc>
        <w:tc>
          <w:tcPr>
            <w:tcW w:w="494" w:type="pct"/>
            <w:shd w:val="clear" w:color="auto" w:fill="EEECE1"/>
          </w:tcPr>
          <w:p w:rsidR="004268DE" w:rsidRPr="00A66E8D" w:rsidRDefault="004268DE" w:rsidP="006E0C5F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6E8D">
              <w:rPr>
                <w:rFonts w:ascii="Calibri" w:hAnsi="Calibri"/>
                <w:b/>
                <w:sz w:val="22"/>
                <w:szCs w:val="22"/>
              </w:rPr>
              <w:t>Paeds</w:t>
            </w:r>
          </w:p>
        </w:tc>
        <w:tc>
          <w:tcPr>
            <w:tcW w:w="494" w:type="pct"/>
            <w:shd w:val="clear" w:color="auto" w:fill="EEECE1"/>
          </w:tcPr>
          <w:p w:rsidR="004268DE" w:rsidRPr="00A66E8D" w:rsidRDefault="004268DE" w:rsidP="006E0C5F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6E8D">
              <w:rPr>
                <w:rFonts w:ascii="Calibri" w:hAnsi="Calibri"/>
                <w:b/>
                <w:sz w:val="22"/>
                <w:szCs w:val="22"/>
              </w:rPr>
              <w:t>PICU</w:t>
            </w:r>
          </w:p>
        </w:tc>
        <w:tc>
          <w:tcPr>
            <w:tcW w:w="494" w:type="pct"/>
            <w:shd w:val="clear" w:color="auto" w:fill="EEECE1"/>
          </w:tcPr>
          <w:p w:rsidR="004268DE" w:rsidRPr="00A66E8D" w:rsidRDefault="004268DE" w:rsidP="006E0C5F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6E8D">
              <w:rPr>
                <w:rFonts w:ascii="Calibri" w:hAnsi="Calibri"/>
                <w:b/>
                <w:sz w:val="22"/>
                <w:szCs w:val="22"/>
              </w:rPr>
              <w:t>Pain</w:t>
            </w:r>
          </w:p>
        </w:tc>
        <w:tc>
          <w:tcPr>
            <w:tcW w:w="514" w:type="pct"/>
            <w:shd w:val="clear" w:color="auto" w:fill="EEECE1"/>
          </w:tcPr>
          <w:p w:rsidR="004268DE" w:rsidRPr="00A66E8D" w:rsidRDefault="004268DE" w:rsidP="006E0C5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Perioperative Medicine</w:t>
            </w:r>
          </w:p>
        </w:tc>
        <w:tc>
          <w:tcPr>
            <w:tcW w:w="534" w:type="pct"/>
            <w:shd w:val="clear" w:color="auto" w:fill="EEECE1"/>
          </w:tcPr>
          <w:p w:rsidR="004268DE" w:rsidRPr="00A66E8D" w:rsidRDefault="004268DE" w:rsidP="006E0C5F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6E8D">
              <w:rPr>
                <w:rFonts w:ascii="Calibri" w:hAnsi="Calibri"/>
                <w:b/>
                <w:sz w:val="22"/>
                <w:szCs w:val="22"/>
              </w:rPr>
              <w:t>Plastics/Burns</w:t>
            </w:r>
          </w:p>
        </w:tc>
      </w:tr>
      <w:tr w:rsidR="004268DE" w:rsidRPr="006E0C5F" w:rsidTr="00093EB8">
        <w:tc>
          <w:tcPr>
            <w:tcW w:w="494" w:type="pct"/>
            <w:shd w:val="clear" w:color="auto" w:fill="EEECE1"/>
          </w:tcPr>
          <w:p w:rsidR="004268DE" w:rsidRPr="006E0C5F" w:rsidRDefault="004268DE" w:rsidP="006E0C5F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EEECE1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6-12m</w:t>
            </w:r>
          </w:p>
        </w:tc>
        <w:tc>
          <w:tcPr>
            <w:tcW w:w="494" w:type="pct"/>
            <w:shd w:val="clear" w:color="auto" w:fill="EEECE1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12m</w:t>
            </w:r>
          </w:p>
        </w:tc>
        <w:tc>
          <w:tcPr>
            <w:tcW w:w="494" w:type="pct"/>
            <w:shd w:val="clear" w:color="auto" w:fill="EEECE1"/>
          </w:tcPr>
          <w:p w:rsidR="004268DE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12m</w:t>
            </w:r>
          </w:p>
        </w:tc>
        <w:tc>
          <w:tcPr>
            <w:tcW w:w="494" w:type="pct"/>
            <w:shd w:val="clear" w:color="auto" w:fill="EEECE1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6m</w:t>
            </w:r>
          </w:p>
        </w:tc>
        <w:tc>
          <w:tcPr>
            <w:tcW w:w="494" w:type="pct"/>
            <w:shd w:val="clear" w:color="auto" w:fill="EEECE1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6m or 12m</w:t>
            </w:r>
          </w:p>
        </w:tc>
        <w:tc>
          <w:tcPr>
            <w:tcW w:w="494" w:type="pct"/>
            <w:shd w:val="clear" w:color="auto" w:fill="EEECE1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n/s </w:t>
            </w:r>
          </w:p>
        </w:tc>
        <w:tc>
          <w:tcPr>
            <w:tcW w:w="494" w:type="pct"/>
            <w:shd w:val="clear" w:color="auto" w:fill="EEECE1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12m</w:t>
            </w:r>
          </w:p>
        </w:tc>
        <w:tc>
          <w:tcPr>
            <w:tcW w:w="514" w:type="pct"/>
            <w:shd w:val="clear" w:color="auto" w:fill="EEECE1"/>
          </w:tcPr>
          <w:p w:rsidR="004268DE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6-12m</w:t>
            </w:r>
          </w:p>
        </w:tc>
        <w:tc>
          <w:tcPr>
            <w:tcW w:w="534" w:type="pct"/>
            <w:shd w:val="clear" w:color="auto" w:fill="EEECE1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6m</w:t>
            </w:r>
          </w:p>
        </w:tc>
      </w:tr>
      <w:tr w:rsidR="003559A2" w:rsidRPr="006E0C5F" w:rsidTr="00A94040">
        <w:tc>
          <w:tcPr>
            <w:tcW w:w="494" w:type="pct"/>
            <w:shd w:val="clear" w:color="auto" w:fill="EEECE1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  <w:r w:rsidRPr="006E0C5F">
              <w:rPr>
                <w:rFonts w:ascii="Calibri" w:hAnsi="Calibri"/>
                <w:sz w:val="22"/>
                <w:szCs w:val="22"/>
              </w:rPr>
              <w:t>Bradford</w:t>
            </w:r>
          </w:p>
        </w:tc>
        <w:tc>
          <w:tcPr>
            <w:tcW w:w="494" w:type="pct"/>
            <w:shd w:val="clear" w:color="auto" w:fill="auto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9BBB59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F79646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92D050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92D050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268DE" w:rsidRPr="006E0C5F" w:rsidTr="0052290C">
        <w:tc>
          <w:tcPr>
            <w:tcW w:w="494" w:type="pct"/>
            <w:shd w:val="clear" w:color="auto" w:fill="EEECE1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  <w:r w:rsidRPr="006E0C5F">
              <w:rPr>
                <w:rFonts w:ascii="Calibri" w:hAnsi="Calibri"/>
                <w:sz w:val="22"/>
                <w:szCs w:val="22"/>
              </w:rPr>
              <w:t>Calderdale</w:t>
            </w:r>
          </w:p>
        </w:tc>
        <w:tc>
          <w:tcPr>
            <w:tcW w:w="494" w:type="pct"/>
            <w:shd w:val="clear" w:color="auto" w:fill="auto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F79646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9BBB59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268DE" w:rsidRPr="006E0C5F" w:rsidTr="005D4364">
        <w:tc>
          <w:tcPr>
            <w:tcW w:w="494" w:type="pct"/>
            <w:shd w:val="clear" w:color="auto" w:fill="EEECE1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LTHT</w:t>
            </w:r>
          </w:p>
        </w:tc>
        <w:tc>
          <w:tcPr>
            <w:tcW w:w="494" w:type="pct"/>
            <w:shd w:val="clear" w:color="auto" w:fill="92D050"/>
          </w:tcPr>
          <w:p w:rsidR="004268DE" w:rsidRPr="006E0C5F" w:rsidRDefault="004268DE" w:rsidP="006E0C5F">
            <w:pPr>
              <w:rPr>
                <w:rFonts w:ascii="Calibri" w:hAnsi="Calibri"/>
                <w:color w:val="92D050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92D050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92D050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92D050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92D050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92D050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92D050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92D050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FFFF00"/>
          </w:tcPr>
          <w:p w:rsidR="004268DE" w:rsidRPr="005D4364" w:rsidRDefault="004268DE" w:rsidP="006E0C5F">
            <w:pPr>
              <w:rPr>
                <w:rFonts w:ascii="Calibri" w:hAnsi="Calibri"/>
                <w:color w:val="FFFF00"/>
                <w:sz w:val="22"/>
                <w:szCs w:val="22"/>
              </w:rPr>
            </w:pPr>
          </w:p>
        </w:tc>
      </w:tr>
      <w:tr w:rsidR="004268DE" w:rsidRPr="006E0C5F" w:rsidTr="00093EB8">
        <w:tc>
          <w:tcPr>
            <w:tcW w:w="494" w:type="pct"/>
            <w:shd w:val="clear" w:color="auto" w:fill="EEECE1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  <w:r w:rsidRPr="006E0C5F">
              <w:rPr>
                <w:rFonts w:ascii="Calibri" w:hAnsi="Calibri"/>
                <w:sz w:val="22"/>
                <w:szCs w:val="22"/>
              </w:rPr>
              <w:t>Mid-Yorks</w:t>
            </w:r>
          </w:p>
        </w:tc>
        <w:tc>
          <w:tcPr>
            <w:tcW w:w="494" w:type="pct"/>
            <w:shd w:val="clear" w:color="auto" w:fill="auto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92D050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92D050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92D050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92D050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268DE" w:rsidRPr="006E0C5F" w:rsidTr="00093EB8">
        <w:tc>
          <w:tcPr>
            <w:tcW w:w="494" w:type="pct"/>
            <w:shd w:val="clear" w:color="auto" w:fill="EEECE1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  <w:r w:rsidRPr="006E0C5F">
              <w:rPr>
                <w:rFonts w:ascii="Calibri" w:hAnsi="Calibri"/>
                <w:sz w:val="22"/>
                <w:szCs w:val="22"/>
              </w:rPr>
              <w:t>Harrogate</w:t>
            </w:r>
          </w:p>
        </w:tc>
        <w:tc>
          <w:tcPr>
            <w:tcW w:w="494" w:type="pct"/>
            <w:shd w:val="clear" w:color="auto" w:fill="auto"/>
          </w:tcPr>
          <w:p w:rsidR="004268DE" w:rsidRPr="005D4364" w:rsidRDefault="004268DE" w:rsidP="006E0C5F">
            <w:pPr>
              <w:rPr>
                <w:rFonts w:ascii="Calibri" w:hAnsi="Calibri"/>
                <w:color w:val="FFFF00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FFFF00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92D050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4268DE" w:rsidRPr="006E0C5F" w:rsidRDefault="004268DE" w:rsidP="006E0C5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36EEB" w:rsidRPr="006E0C5F" w:rsidRDefault="00236EEB" w:rsidP="00093EB8">
      <w:pPr>
        <w:shd w:val="clear" w:color="auto" w:fill="EEECE1"/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page" w:horzAnchor="margin" w:tblpY="50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:rsidR="005E69F0" w:rsidRPr="005E69F0" w:rsidTr="00093EB8">
        <w:tc>
          <w:tcPr>
            <w:tcW w:w="5000" w:type="pct"/>
            <w:gridSpan w:val="12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69F0">
              <w:rPr>
                <w:rFonts w:ascii="Calibri" w:hAnsi="Calibri"/>
                <w:b/>
                <w:sz w:val="22"/>
                <w:szCs w:val="22"/>
              </w:rPr>
              <w:t>General Duties</w:t>
            </w:r>
          </w:p>
        </w:tc>
      </w:tr>
      <w:tr w:rsidR="00093EB8" w:rsidRPr="005E69F0" w:rsidTr="00093EB8">
        <w:tc>
          <w:tcPr>
            <w:tcW w:w="417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b/>
                <w:sz w:val="22"/>
                <w:szCs w:val="22"/>
              </w:rPr>
            </w:pPr>
            <w:r w:rsidRPr="005E69F0">
              <w:rPr>
                <w:rFonts w:ascii="Calibri" w:hAnsi="Calibri"/>
                <w:b/>
                <w:sz w:val="22"/>
                <w:szCs w:val="22"/>
              </w:rPr>
              <w:t>Airway</w:t>
            </w:r>
          </w:p>
        </w:tc>
        <w:tc>
          <w:tcPr>
            <w:tcW w:w="417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b/>
                <w:sz w:val="22"/>
                <w:szCs w:val="22"/>
              </w:rPr>
            </w:pPr>
            <w:r w:rsidRPr="005E69F0">
              <w:rPr>
                <w:rFonts w:ascii="Calibri" w:hAnsi="Calibri"/>
                <w:b/>
                <w:sz w:val="22"/>
                <w:szCs w:val="22"/>
              </w:rPr>
              <w:t>H&amp;N</w:t>
            </w:r>
          </w:p>
        </w:tc>
        <w:tc>
          <w:tcPr>
            <w:tcW w:w="417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b/>
                <w:sz w:val="22"/>
                <w:szCs w:val="22"/>
              </w:rPr>
            </w:pPr>
            <w:r w:rsidRPr="005E69F0">
              <w:rPr>
                <w:rFonts w:ascii="Calibri" w:hAnsi="Calibri"/>
                <w:b/>
                <w:sz w:val="22"/>
                <w:szCs w:val="22"/>
              </w:rPr>
              <w:t>Gen</w:t>
            </w:r>
          </w:p>
        </w:tc>
        <w:tc>
          <w:tcPr>
            <w:tcW w:w="417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b/>
                <w:sz w:val="22"/>
                <w:szCs w:val="22"/>
              </w:rPr>
            </w:pPr>
            <w:r w:rsidRPr="005E69F0">
              <w:rPr>
                <w:rFonts w:ascii="Calibri" w:hAnsi="Calibri"/>
                <w:b/>
                <w:sz w:val="22"/>
                <w:szCs w:val="22"/>
              </w:rPr>
              <w:t>HPB</w:t>
            </w:r>
          </w:p>
        </w:tc>
        <w:tc>
          <w:tcPr>
            <w:tcW w:w="417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b/>
                <w:sz w:val="22"/>
                <w:szCs w:val="22"/>
              </w:rPr>
            </w:pPr>
            <w:r w:rsidRPr="005E69F0">
              <w:rPr>
                <w:rFonts w:ascii="Calibri" w:hAnsi="Calibri"/>
                <w:b/>
                <w:sz w:val="22"/>
                <w:szCs w:val="22"/>
              </w:rPr>
              <w:t>Vasc</w:t>
            </w:r>
          </w:p>
        </w:tc>
        <w:tc>
          <w:tcPr>
            <w:tcW w:w="417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b/>
                <w:sz w:val="22"/>
                <w:szCs w:val="22"/>
              </w:rPr>
            </w:pPr>
            <w:r w:rsidRPr="005E69F0">
              <w:rPr>
                <w:rFonts w:ascii="Calibri" w:hAnsi="Calibri"/>
                <w:b/>
                <w:sz w:val="22"/>
                <w:szCs w:val="22"/>
              </w:rPr>
              <w:t>Day</w:t>
            </w:r>
          </w:p>
        </w:tc>
        <w:tc>
          <w:tcPr>
            <w:tcW w:w="417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b/>
                <w:sz w:val="22"/>
                <w:szCs w:val="22"/>
              </w:rPr>
            </w:pPr>
            <w:r w:rsidRPr="005E69F0">
              <w:rPr>
                <w:rFonts w:ascii="Calibri" w:hAnsi="Calibri"/>
                <w:b/>
                <w:sz w:val="22"/>
                <w:szCs w:val="22"/>
              </w:rPr>
              <w:t>Sed’n</w:t>
            </w:r>
          </w:p>
        </w:tc>
        <w:tc>
          <w:tcPr>
            <w:tcW w:w="417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b/>
                <w:sz w:val="22"/>
                <w:szCs w:val="22"/>
              </w:rPr>
            </w:pPr>
            <w:r w:rsidRPr="005E69F0">
              <w:rPr>
                <w:rFonts w:ascii="Calibri" w:hAnsi="Calibri"/>
                <w:b/>
                <w:sz w:val="22"/>
                <w:szCs w:val="22"/>
              </w:rPr>
              <w:t>Ortho</w:t>
            </w:r>
          </w:p>
        </w:tc>
        <w:tc>
          <w:tcPr>
            <w:tcW w:w="417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b/>
                <w:sz w:val="22"/>
                <w:szCs w:val="22"/>
              </w:rPr>
            </w:pPr>
            <w:r w:rsidRPr="005E69F0">
              <w:rPr>
                <w:rFonts w:ascii="Calibri" w:hAnsi="Calibri"/>
                <w:b/>
                <w:sz w:val="22"/>
                <w:szCs w:val="22"/>
              </w:rPr>
              <w:t>Reg</w:t>
            </w:r>
          </w:p>
        </w:tc>
        <w:tc>
          <w:tcPr>
            <w:tcW w:w="417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b/>
                <w:sz w:val="22"/>
                <w:szCs w:val="22"/>
              </w:rPr>
            </w:pPr>
            <w:r w:rsidRPr="005E69F0">
              <w:rPr>
                <w:rFonts w:ascii="Calibri" w:hAnsi="Calibri"/>
                <w:b/>
                <w:sz w:val="22"/>
                <w:szCs w:val="22"/>
              </w:rPr>
              <w:t>T&amp;S</w:t>
            </w:r>
          </w:p>
        </w:tc>
        <w:tc>
          <w:tcPr>
            <w:tcW w:w="413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b/>
                <w:sz w:val="22"/>
                <w:szCs w:val="22"/>
              </w:rPr>
            </w:pPr>
            <w:r w:rsidRPr="005E69F0">
              <w:rPr>
                <w:rFonts w:ascii="Calibri" w:hAnsi="Calibri"/>
                <w:b/>
                <w:sz w:val="22"/>
                <w:szCs w:val="22"/>
              </w:rPr>
              <w:t>Transfer</w:t>
            </w:r>
          </w:p>
        </w:tc>
      </w:tr>
      <w:tr w:rsidR="00093EB8" w:rsidRPr="006E0C5F" w:rsidTr="00093EB8">
        <w:tc>
          <w:tcPr>
            <w:tcW w:w="417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sz w:val="22"/>
                <w:szCs w:val="22"/>
              </w:rPr>
            </w:pPr>
            <w:r w:rsidRPr="005E69F0">
              <w:rPr>
                <w:rFonts w:ascii="Calibri" w:hAnsi="Calibri"/>
                <w:sz w:val="22"/>
                <w:szCs w:val="22"/>
              </w:rPr>
              <w:t>3-6m</w:t>
            </w:r>
          </w:p>
        </w:tc>
        <w:tc>
          <w:tcPr>
            <w:tcW w:w="417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sz w:val="22"/>
                <w:szCs w:val="22"/>
              </w:rPr>
            </w:pPr>
            <w:r w:rsidRPr="005E69F0">
              <w:rPr>
                <w:rFonts w:ascii="Calibri" w:hAnsi="Calibri"/>
                <w:sz w:val="22"/>
                <w:szCs w:val="22"/>
              </w:rPr>
              <w:t>3-6m</w:t>
            </w:r>
          </w:p>
        </w:tc>
        <w:tc>
          <w:tcPr>
            <w:tcW w:w="417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sz w:val="22"/>
                <w:szCs w:val="22"/>
              </w:rPr>
            </w:pPr>
            <w:r w:rsidRPr="005E69F0">
              <w:rPr>
                <w:rFonts w:ascii="Calibri" w:hAnsi="Calibri"/>
                <w:sz w:val="22"/>
                <w:szCs w:val="22"/>
              </w:rPr>
              <w:t>3-6m</w:t>
            </w:r>
          </w:p>
        </w:tc>
        <w:tc>
          <w:tcPr>
            <w:tcW w:w="417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sz w:val="22"/>
                <w:szCs w:val="22"/>
              </w:rPr>
            </w:pPr>
            <w:r w:rsidRPr="005E69F0">
              <w:rPr>
                <w:rFonts w:ascii="Calibri" w:hAnsi="Calibri"/>
                <w:sz w:val="22"/>
                <w:szCs w:val="22"/>
              </w:rPr>
              <w:t>6m</w:t>
            </w:r>
          </w:p>
        </w:tc>
        <w:tc>
          <w:tcPr>
            <w:tcW w:w="417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sz w:val="22"/>
                <w:szCs w:val="22"/>
              </w:rPr>
            </w:pPr>
            <w:r w:rsidRPr="005E69F0">
              <w:rPr>
                <w:rFonts w:ascii="Calibri" w:hAnsi="Calibri"/>
                <w:sz w:val="22"/>
                <w:szCs w:val="22"/>
              </w:rPr>
              <w:t>3-6m</w:t>
            </w:r>
          </w:p>
        </w:tc>
        <w:tc>
          <w:tcPr>
            <w:tcW w:w="417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sz w:val="22"/>
                <w:szCs w:val="22"/>
              </w:rPr>
            </w:pPr>
            <w:r w:rsidRPr="005E69F0">
              <w:rPr>
                <w:rFonts w:ascii="Calibri" w:hAnsi="Calibri"/>
                <w:sz w:val="22"/>
                <w:szCs w:val="22"/>
              </w:rPr>
              <w:t>3-6m</w:t>
            </w:r>
          </w:p>
        </w:tc>
        <w:tc>
          <w:tcPr>
            <w:tcW w:w="417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sz w:val="22"/>
                <w:szCs w:val="22"/>
              </w:rPr>
            </w:pPr>
            <w:r w:rsidRPr="005E69F0">
              <w:rPr>
                <w:rFonts w:ascii="Calibri" w:hAnsi="Calibri"/>
                <w:sz w:val="22"/>
                <w:szCs w:val="22"/>
              </w:rPr>
              <w:t>n/s</w:t>
            </w:r>
          </w:p>
        </w:tc>
        <w:tc>
          <w:tcPr>
            <w:tcW w:w="417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sz w:val="22"/>
                <w:szCs w:val="22"/>
              </w:rPr>
            </w:pPr>
            <w:r w:rsidRPr="005E69F0">
              <w:rPr>
                <w:rFonts w:ascii="Calibri" w:hAnsi="Calibri"/>
                <w:sz w:val="22"/>
                <w:szCs w:val="22"/>
              </w:rPr>
              <w:t>3-6m</w:t>
            </w:r>
          </w:p>
        </w:tc>
        <w:tc>
          <w:tcPr>
            <w:tcW w:w="417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sz w:val="22"/>
                <w:szCs w:val="22"/>
              </w:rPr>
            </w:pPr>
            <w:r w:rsidRPr="005E69F0">
              <w:rPr>
                <w:rFonts w:ascii="Calibri" w:hAnsi="Calibri"/>
                <w:sz w:val="22"/>
                <w:szCs w:val="22"/>
              </w:rPr>
              <w:t>3-6m</w:t>
            </w:r>
          </w:p>
        </w:tc>
        <w:tc>
          <w:tcPr>
            <w:tcW w:w="417" w:type="pct"/>
            <w:shd w:val="clear" w:color="auto" w:fill="EEECE1"/>
          </w:tcPr>
          <w:p w:rsidR="005E69F0" w:rsidRPr="005E69F0" w:rsidRDefault="005E69F0" w:rsidP="00093EB8">
            <w:pPr>
              <w:shd w:val="clear" w:color="auto" w:fill="EEECE1"/>
              <w:rPr>
                <w:rFonts w:ascii="Calibri" w:hAnsi="Calibri"/>
                <w:sz w:val="22"/>
                <w:szCs w:val="22"/>
              </w:rPr>
            </w:pPr>
            <w:r w:rsidRPr="005E69F0">
              <w:rPr>
                <w:rFonts w:ascii="Calibri" w:hAnsi="Calibri"/>
                <w:sz w:val="22"/>
                <w:szCs w:val="22"/>
              </w:rPr>
              <w:t>6m</w:t>
            </w:r>
          </w:p>
        </w:tc>
        <w:tc>
          <w:tcPr>
            <w:tcW w:w="413" w:type="pct"/>
            <w:shd w:val="clear" w:color="auto" w:fill="EEECE1"/>
          </w:tcPr>
          <w:p w:rsidR="005E69F0" w:rsidRPr="006E0C5F" w:rsidRDefault="005E69F0" w:rsidP="00093EB8">
            <w:pPr>
              <w:shd w:val="clear" w:color="auto" w:fill="EEECE1"/>
              <w:rPr>
                <w:rFonts w:ascii="Calibri" w:hAnsi="Calibri"/>
                <w:sz w:val="22"/>
                <w:szCs w:val="22"/>
              </w:rPr>
            </w:pPr>
            <w:r w:rsidRPr="005E69F0">
              <w:rPr>
                <w:rFonts w:ascii="Calibri" w:hAnsi="Calibri"/>
                <w:sz w:val="22"/>
                <w:szCs w:val="22"/>
              </w:rPr>
              <w:t>n/s</w:t>
            </w:r>
          </w:p>
        </w:tc>
      </w:tr>
      <w:tr w:rsidR="003559A2" w:rsidRPr="006E0C5F" w:rsidTr="00D95A82">
        <w:tc>
          <w:tcPr>
            <w:tcW w:w="417" w:type="pct"/>
            <w:shd w:val="clear" w:color="auto" w:fill="EEECE1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  <w:r w:rsidRPr="006E0C5F">
              <w:rPr>
                <w:rFonts w:ascii="Calibri" w:hAnsi="Calibri"/>
                <w:sz w:val="22"/>
                <w:szCs w:val="22"/>
              </w:rPr>
              <w:t>Bradford</w:t>
            </w: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5E69F0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auto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79646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auto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auto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79646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auto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290C" w:rsidRPr="006E0C5F" w:rsidTr="0052290C">
        <w:tc>
          <w:tcPr>
            <w:tcW w:w="417" w:type="pct"/>
            <w:shd w:val="clear" w:color="auto" w:fill="EEECE1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  <w:r w:rsidRPr="006E0C5F">
              <w:rPr>
                <w:rFonts w:ascii="Calibri" w:hAnsi="Calibri"/>
                <w:sz w:val="22"/>
                <w:szCs w:val="22"/>
              </w:rPr>
              <w:t>Calderdale</w:t>
            </w:r>
          </w:p>
        </w:tc>
        <w:tc>
          <w:tcPr>
            <w:tcW w:w="417" w:type="pct"/>
            <w:shd w:val="clear" w:color="auto" w:fill="FFFF0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0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BBB59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auto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79646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79646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auto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FFFF0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3EB8" w:rsidRPr="006E0C5F" w:rsidTr="00093EB8">
        <w:tc>
          <w:tcPr>
            <w:tcW w:w="417" w:type="pct"/>
            <w:shd w:val="clear" w:color="auto" w:fill="EEECE1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LTHT</w:t>
            </w: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290C" w:rsidRPr="006E0C5F" w:rsidTr="0052290C">
        <w:tc>
          <w:tcPr>
            <w:tcW w:w="417" w:type="pct"/>
            <w:shd w:val="clear" w:color="auto" w:fill="EEECE1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  <w:r w:rsidRPr="006E0C5F">
              <w:rPr>
                <w:rFonts w:ascii="Calibri" w:hAnsi="Calibri"/>
                <w:sz w:val="22"/>
                <w:szCs w:val="22"/>
              </w:rPr>
              <w:t>Mid-Yorks</w:t>
            </w:r>
          </w:p>
        </w:tc>
        <w:tc>
          <w:tcPr>
            <w:tcW w:w="417" w:type="pct"/>
            <w:shd w:val="clear" w:color="auto" w:fill="9BBB59"/>
          </w:tcPr>
          <w:p w:rsidR="005E69F0" w:rsidRPr="005E69F0" w:rsidRDefault="005E69F0" w:rsidP="005E69F0">
            <w:pPr>
              <w:rPr>
                <w:rFonts w:ascii="Calibri" w:hAnsi="Calibri"/>
                <w:color w:val="92D050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00"/>
          </w:tcPr>
          <w:p w:rsidR="005E69F0" w:rsidRPr="005E69F0" w:rsidRDefault="005E69F0" w:rsidP="005E69F0">
            <w:pPr>
              <w:rPr>
                <w:rFonts w:ascii="Calibri" w:hAnsi="Calibri"/>
                <w:color w:val="92D050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auto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auto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79646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auto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3EB8" w:rsidRPr="006E0C5F" w:rsidTr="005D4364">
        <w:tc>
          <w:tcPr>
            <w:tcW w:w="417" w:type="pct"/>
            <w:shd w:val="clear" w:color="auto" w:fill="EEECE1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  <w:r w:rsidRPr="006E0C5F">
              <w:rPr>
                <w:rFonts w:ascii="Calibri" w:hAnsi="Calibri"/>
                <w:sz w:val="22"/>
                <w:szCs w:val="22"/>
              </w:rPr>
              <w:t>Harrogate</w:t>
            </w:r>
          </w:p>
        </w:tc>
        <w:tc>
          <w:tcPr>
            <w:tcW w:w="417" w:type="pct"/>
            <w:shd w:val="clear" w:color="auto" w:fill="auto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auto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auto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auto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79646" w:themeFill="accent6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92D050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auto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5E69F0" w:rsidRPr="006E0C5F" w:rsidRDefault="005E69F0" w:rsidP="005E69F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36EEB" w:rsidRPr="006E0C5F" w:rsidRDefault="00236EEB">
      <w:pPr>
        <w:rPr>
          <w:rFonts w:ascii="Calibri" w:hAnsi="Calibri"/>
          <w:sz w:val="22"/>
          <w:szCs w:val="22"/>
        </w:rPr>
      </w:pPr>
    </w:p>
    <w:p w:rsidR="004268DE" w:rsidRDefault="005D436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139065</wp:posOffset>
                </wp:positionV>
                <wp:extent cx="683895" cy="202565"/>
                <wp:effectExtent l="22860" t="24765" r="36195" b="4889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20256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64.55pt;margin-top:10.95pt;width:53.85pt;height:1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" fillcolor="#9bbb59" strokecolor="#f2f2f2" strokeweight="3pt">
                <v:shadow on="t" color="#4e6128" opacity=".5" offset="1pt"/>
              </v:rect>
            </w:pict>
          </mc:Fallback>
        </mc:AlternateContent>
      </w:r>
    </w:p>
    <w:p w:rsidR="005C5D0C" w:rsidRDefault="002F6841">
      <w:pPr>
        <w:rPr>
          <w:rFonts w:ascii="Calibri" w:hAnsi="Calibri"/>
          <w:sz w:val="22"/>
          <w:szCs w:val="22"/>
        </w:rPr>
      </w:pPr>
      <w:r w:rsidRPr="006E0C5F">
        <w:rPr>
          <w:rFonts w:ascii="Calibri" w:hAnsi="Calibri"/>
          <w:sz w:val="22"/>
          <w:szCs w:val="22"/>
        </w:rPr>
        <w:t>Can deliver module in its entirety =</w:t>
      </w:r>
      <w:r w:rsidR="00F25985">
        <w:rPr>
          <w:rFonts w:ascii="Calibri" w:hAnsi="Calibri"/>
          <w:sz w:val="22"/>
          <w:szCs w:val="22"/>
        </w:rPr>
        <w:t xml:space="preserve"> </w:t>
      </w:r>
    </w:p>
    <w:p w:rsidR="005C5D0C" w:rsidRDefault="005D436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140970</wp:posOffset>
                </wp:positionV>
                <wp:extent cx="683895" cy="202565"/>
                <wp:effectExtent l="22860" t="26670" r="36195" b="4699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20256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91.55pt;margin-top:11.1pt;width:53.85pt;height:1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" fillcolor="#f79646" strokecolor="#f2f2f2" strokeweight="3pt">
                <v:shadow on="t" color="#4e6128" opacity=".5" offset="1pt"/>
              </v:rect>
            </w:pict>
          </mc:Fallback>
        </mc:AlternateContent>
      </w:r>
    </w:p>
    <w:p w:rsidR="005C5D0C" w:rsidRDefault="005C5D0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Can del</w:t>
      </w:r>
      <w:r w:rsidR="00F25985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ver the majority of the module = </w:t>
      </w:r>
      <w:bookmarkStart w:id="0" w:name="_GoBack"/>
      <w:bookmarkEnd w:id="0"/>
    </w:p>
    <w:p w:rsidR="003559A2" w:rsidRPr="007565D2" w:rsidRDefault="003559A2" w:rsidP="003559A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Pr="007565D2">
        <w:rPr>
          <w:rFonts w:ascii="Calibri" w:hAnsi="Calibri"/>
          <w:sz w:val="22"/>
          <w:szCs w:val="22"/>
        </w:rPr>
        <w:t xml:space="preserve">g. </w:t>
      </w:r>
      <w:r>
        <w:rPr>
          <w:rFonts w:ascii="Calibri" w:hAnsi="Calibri"/>
          <w:sz w:val="22"/>
          <w:szCs w:val="22"/>
        </w:rPr>
        <w:t>Exposure to cardiac patients in obstetrics, intrathoracic vascular cases and major spine surgery are limited in availability but this should not prevent completion of the unit in that site.</w:t>
      </w:r>
    </w:p>
    <w:p w:rsidR="002F6841" w:rsidRPr="006E0C5F" w:rsidRDefault="005D436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163830</wp:posOffset>
                </wp:positionV>
                <wp:extent cx="683895" cy="202565"/>
                <wp:effectExtent l="22860" t="20955" r="36195" b="5270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2025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8.55pt;margin-top:12.9pt;width:53.85pt;height:1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" fillcolor="yellow" strokecolor="#f2f2f2" strokeweight="3pt">
                <v:shadow on="t" color="#4e6128" opacity=".5" offset="1pt"/>
              </v:rect>
            </w:pict>
          </mc:Fallback>
        </mc:AlternateContent>
      </w:r>
    </w:p>
    <w:p w:rsidR="00236EEB" w:rsidRDefault="00F2598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Can deliver some parts </w:t>
      </w:r>
      <w:r w:rsidR="002F6841" w:rsidRPr="006E0C5F">
        <w:rPr>
          <w:rFonts w:ascii="Calibri" w:hAnsi="Calibri"/>
          <w:sz w:val="22"/>
          <w:szCs w:val="22"/>
        </w:rPr>
        <w:t xml:space="preserve">of the module = </w:t>
      </w:r>
    </w:p>
    <w:p w:rsidR="005C5D0C" w:rsidRDefault="005C5D0C">
      <w:pPr>
        <w:rPr>
          <w:rFonts w:ascii="Calibri" w:hAnsi="Calibri"/>
          <w:sz w:val="22"/>
          <w:szCs w:val="22"/>
        </w:rPr>
      </w:pPr>
    </w:p>
    <w:p w:rsidR="002F6841" w:rsidRPr="00D95A82" w:rsidRDefault="002F6841" w:rsidP="00D95A82">
      <w:pPr>
        <w:spacing w:after="120"/>
        <w:rPr>
          <w:rFonts w:ascii="Calibri" w:hAnsi="Calibri"/>
          <w:b/>
          <w:sz w:val="22"/>
          <w:szCs w:val="22"/>
        </w:rPr>
      </w:pPr>
      <w:r w:rsidRPr="00D95A82">
        <w:rPr>
          <w:rFonts w:ascii="Calibri" w:hAnsi="Calibri"/>
          <w:b/>
          <w:sz w:val="22"/>
          <w:szCs w:val="22"/>
          <w:u w:val="single"/>
        </w:rPr>
        <w:lastRenderedPageBreak/>
        <w:t>Important Points to Note</w:t>
      </w:r>
    </w:p>
    <w:p w:rsidR="002F6841" w:rsidRPr="006E0C5F" w:rsidRDefault="002F6841" w:rsidP="00D95A82">
      <w:pPr>
        <w:spacing w:after="120"/>
        <w:rPr>
          <w:rFonts w:ascii="Calibri" w:hAnsi="Calibri"/>
          <w:sz w:val="22"/>
          <w:szCs w:val="22"/>
        </w:rPr>
      </w:pPr>
    </w:p>
    <w:p w:rsidR="00EB1DD7" w:rsidRPr="003559A2" w:rsidRDefault="002F6841" w:rsidP="00D95A82">
      <w:pPr>
        <w:numPr>
          <w:ilvl w:val="0"/>
          <w:numId w:val="3"/>
        </w:numPr>
        <w:spacing w:after="120"/>
        <w:rPr>
          <w:rFonts w:ascii="Calibri" w:hAnsi="Calibri"/>
          <w:sz w:val="22"/>
          <w:szCs w:val="22"/>
        </w:rPr>
      </w:pPr>
      <w:r w:rsidRPr="003559A2">
        <w:rPr>
          <w:rFonts w:ascii="Calibri" w:hAnsi="Calibri"/>
          <w:sz w:val="22"/>
          <w:szCs w:val="22"/>
        </w:rPr>
        <w:t>All trainees must complete at least 1 advanced unit</w:t>
      </w:r>
      <w:r w:rsidR="003559A2">
        <w:rPr>
          <w:rFonts w:ascii="Calibri" w:hAnsi="Calibri"/>
          <w:sz w:val="22"/>
          <w:szCs w:val="22"/>
        </w:rPr>
        <w:t xml:space="preserve"> and should be spending 12 months training at Advanced level.</w:t>
      </w:r>
    </w:p>
    <w:p w:rsidR="00EB1DD7" w:rsidRPr="0046349F" w:rsidRDefault="00A94040" w:rsidP="00087CAC">
      <w:pPr>
        <w:numPr>
          <w:ilvl w:val="0"/>
          <w:numId w:val="3"/>
        </w:numPr>
        <w:spacing w:after="120"/>
        <w:rPr>
          <w:rFonts w:ascii="Calibri" w:hAnsi="Calibri"/>
          <w:sz w:val="22"/>
          <w:szCs w:val="22"/>
        </w:rPr>
      </w:pPr>
      <w:r w:rsidRPr="0046349F">
        <w:rPr>
          <w:rFonts w:ascii="Tahoma" w:hAnsi="Tahoma" w:cs="Tahoma"/>
          <w:color w:val="000000"/>
          <w:sz w:val="20"/>
          <w:szCs w:val="20"/>
        </w:rPr>
        <w:t xml:space="preserve">Details can be found here </w:t>
      </w:r>
      <w:hyperlink r:id="rId8" w:history="1">
        <w:r w:rsidRPr="0046349F">
          <w:rPr>
            <w:rStyle w:val="Hyperlink"/>
            <w:rFonts w:ascii="Tahoma" w:hAnsi="Tahoma" w:cs="Tahoma"/>
            <w:sz w:val="20"/>
            <w:szCs w:val="20"/>
          </w:rPr>
          <w:t>https://www.rcoa.ac.uk/system/files/TRG-CCT-ANNEXE.pdf</w:t>
        </w:r>
      </w:hyperlink>
      <w:r w:rsidRPr="0046349F">
        <w:rPr>
          <w:rFonts w:ascii="Calibri" w:hAnsi="Calibri"/>
          <w:sz w:val="22"/>
          <w:szCs w:val="22"/>
        </w:rPr>
        <w:t xml:space="preserve">. </w:t>
      </w:r>
      <w:r w:rsidR="007565D2" w:rsidRPr="0046349F">
        <w:rPr>
          <w:rFonts w:ascii="Tahoma" w:hAnsi="Tahoma" w:cs="Tahoma"/>
          <w:color w:val="000000"/>
          <w:sz w:val="20"/>
          <w:szCs w:val="20"/>
        </w:rPr>
        <w:t>The time scales given in the curriculum can be used as a guide as to how man</w:t>
      </w:r>
      <w:r w:rsidRPr="0046349F">
        <w:rPr>
          <w:rFonts w:ascii="Tahoma" w:hAnsi="Tahoma" w:cs="Tahoma"/>
          <w:color w:val="000000"/>
          <w:sz w:val="20"/>
          <w:szCs w:val="20"/>
        </w:rPr>
        <w:t>y modules should be undertaken (if General Duties is chosen then at least two sub-units must be completed)</w:t>
      </w:r>
      <w:r w:rsidR="0046349F" w:rsidRPr="0046349F">
        <w:rPr>
          <w:rFonts w:ascii="Tahoma" w:hAnsi="Tahoma" w:cs="Tahoma"/>
          <w:color w:val="000000"/>
          <w:sz w:val="20"/>
          <w:szCs w:val="20"/>
        </w:rPr>
        <w:t>. Trainees must read Annexe E to know what is expected of them in a particular module.</w:t>
      </w:r>
    </w:p>
    <w:p w:rsidR="00D95A82" w:rsidRPr="00D95A82" w:rsidRDefault="007565D2" w:rsidP="00D95A82">
      <w:pPr>
        <w:numPr>
          <w:ilvl w:val="0"/>
          <w:numId w:val="3"/>
        </w:numPr>
        <w:spacing w:after="120"/>
        <w:rPr>
          <w:rFonts w:ascii="Calibri" w:hAnsi="Calibri"/>
          <w:sz w:val="22"/>
          <w:szCs w:val="22"/>
        </w:rPr>
      </w:pPr>
      <w:r w:rsidRPr="003559A2">
        <w:rPr>
          <w:rFonts w:ascii="Tahoma" w:hAnsi="Tahoma" w:cs="Tahoma"/>
          <w:color w:val="000000"/>
          <w:sz w:val="20"/>
          <w:szCs w:val="20"/>
        </w:rPr>
        <w:t>Trainees should be planning their Advanced Training during Higher T</w:t>
      </w:r>
      <w:r w:rsidR="00EB1DD7" w:rsidRPr="003559A2">
        <w:rPr>
          <w:rFonts w:ascii="Tahoma" w:hAnsi="Tahoma" w:cs="Tahoma"/>
          <w:color w:val="000000"/>
          <w:sz w:val="20"/>
          <w:szCs w:val="20"/>
        </w:rPr>
        <w:t>raining and liaising with a TPD</w:t>
      </w:r>
      <w:r w:rsidRPr="003559A2">
        <w:rPr>
          <w:rFonts w:ascii="Tahoma" w:hAnsi="Tahoma" w:cs="Tahoma"/>
          <w:color w:val="000000"/>
          <w:sz w:val="20"/>
          <w:szCs w:val="20"/>
        </w:rPr>
        <w:t>, college tutors and module supervisors such that they have a structured programme ready to go when they begin their advanced year.</w:t>
      </w:r>
      <w:r w:rsidR="00A94040" w:rsidRPr="00A9404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EB1DD7" w:rsidRPr="003559A2" w:rsidRDefault="00A94040" w:rsidP="00D95A82">
      <w:pPr>
        <w:numPr>
          <w:ilvl w:val="0"/>
          <w:numId w:val="3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>D</w:t>
      </w:r>
      <w:r w:rsidRPr="003559A2">
        <w:rPr>
          <w:rFonts w:ascii="Tahoma" w:hAnsi="Tahoma" w:cs="Tahoma"/>
          <w:color w:val="000000"/>
          <w:sz w:val="20"/>
          <w:szCs w:val="20"/>
        </w:rPr>
        <w:t>etail</w:t>
      </w:r>
      <w:r w:rsidR="00D95A82">
        <w:rPr>
          <w:rFonts w:ascii="Tahoma" w:hAnsi="Tahoma" w:cs="Tahoma"/>
          <w:color w:val="000000"/>
          <w:sz w:val="20"/>
          <w:szCs w:val="20"/>
        </w:rPr>
        <w:t>s of the module structure should</w:t>
      </w:r>
      <w:r w:rsidRPr="003559A2">
        <w:rPr>
          <w:rFonts w:ascii="Tahoma" w:hAnsi="Tahoma" w:cs="Tahoma"/>
          <w:color w:val="000000"/>
          <w:sz w:val="20"/>
          <w:szCs w:val="20"/>
        </w:rPr>
        <w:t xml:space="preserve"> be available from the relevant module supervisor/college tutor</w:t>
      </w:r>
      <w:r>
        <w:rPr>
          <w:rFonts w:ascii="Tahoma" w:hAnsi="Tahoma" w:cs="Tahoma"/>
          <w:color w:val="000000"/>
          <w:sz w:val="20"/>
          <w:szCs w:val="20"/>
        </w:rPr>
        <w:t xml:space="preserve"> in a written format</w:t>
      </w:r>
      <w:r w:rsidR="00D95A82">
        <w:rPr>
          <w:rFonts w:ascii="Tahoma" w:hAnsi="Tahoma" w:cs="Tahoma"/>
          <w:color w:val="000000"/>
          <w:sz w:val="20"/>
          <w:szCs w:val="20"/>
        </w:rPr>
        <w:t xml:space="preserve">. Trainees interested in the unit should be encouraged to obtain the programme </w:t>
      </w:r>
      <w:r>
        <w:rPr>
          <w:rFonts w:ascii="Tahoma" w:hAnsi="Tahoma" w:cs="Tahoma"/>
          <w:color w:val="000000"/>
          <w:sz w:val="20"/>
          <w:szCs w:val="20"/>
        </w:rPr>
        <w:t>in advance.</w:t>
      </w:r>
    </w:p>
    <w:p w:rsidR="00EB1DD7" w:rsidRPr="003559A2" w:rsidRDefault="007565D2" w:rsidP="00D95A82">
      <w:pPr>
        <w:numPr>
          <w:ilvl w:val="0"/>
          <w:numId w:val="3"/>
        </w:numPr>
        <w:spacing w:after="120"/>
        <w:rPr>
          <w:rFonts w:ascii="Calibri" w:hAnsi="Calibri"/>
          <w:sz w:val="22"/>
          <w:szCs w:val="22"/>
        </w:rPr>
      </w:pPr>
      <w:r w:rsidRPr="003559A2">
        <w:rPr>
          <w:rFonts w:ascii="Tahoma" w:hAnsi="Tahoma" w:cs="Tahoma"/>
          <w:color w:val="000000"/>
          <w:sz w:val="20"/>
          <w:szCs w:val="20"/>
        </w:rPr>
        <w:t>Any trainee not sure what is available/re</w:t>
      </w:r>
      <w:r w:rsidR="003559A2" w:rsidRPr="003559A2">
        <w:rPr>
          <w:rFonts w:ascii="Tahoma" w:hAnsi="Tahoma" w:cs="Tahoma"/>
          <w:color w:val="000000"/>
          <w:sz w:val="20"/>
          <w:szCs w:val="20"/>
        </w:rPr>
        <w:t>quired/feasible must</w:t>
      </w:r>
      <w:r w:rsidR="00EB1DD7" w:rsidRPr="003559A2">
        <w:rPr>
          <w:rFonts w:ascii="Tahoma" w:hAnsi="Tahoma" w:cs="Tahoma"/>
          <w:color w:val="000000"/>
          <w:sz w:val="20"/>
          <w:szCs w:val="20"/>
        </w:rPr>
        <w:t xml:space="preserve"> contact a TPD</w:t>
      </w:r>
      <w:r w:rsidRPr="003559A2">
        <w:rPr>
          <w:rFonts w:ascii="Tahoma" w:hAnsi="Tahoma" w:cs="Tahoma"/>
          <w:color w:val="000000"/>
          <w:sz w:val="20"/>
          <w:szCs w:val="20"/>
        </w:rPr>
        <w:t xml:space="preserve"> for clarification</w:t>
      </w:r>
      <w:r w:rsidR="0046349F">
        <w:rPr>
          <w:rFonts w:ascii="Tahoma" w:hAnsi="Tahoma" w:cs="Tahoma"/>
          <w:color w:val="000000"/>
          <w:sz w:val="20"/>
          <w:szCs w:val="20"/>
        </w:rPr>
        <w:t>.</w:t>
      </w:r>
    </w:p>
    <w:p w:rsidR="00EB1DD7" w:rsidRPr="003559A2" w:rsidRDefault="007565D2" w:rsidP="00D95A82">
      <w:pPr>
        <w:numPr>
          <w:ilvl w:val="0"/>
          <w:numId w:val="3"/>
        </w:numPr>
        <w:spacing w:after="120"/>
        <w:rPr>
          <w:rFonts w:ascii="Calibri" w:hAnsi="Calibri"/>
          <w:sz w:val="22"/>
          <w:szCs w:val="22"/>
        </w:rPr>
      </w:pPr>
      <w:r w:rsidRPr="003559A2">
        <w:rPr>
          <w:rFonts w:ascii="Tahoma" w:hAnsi="Tahoma" w:cs="Tahoma"/>
          <w:color w:val="000000"/>
          <w:sz w:val="20"/>
          <w:szCs w:val="20"/>
        </w:rPr>
        <w:t>If a trainee wishes to do a particular module and is being told it's no</w:t>
      </w:r>
      <w:r w:rsidR="00EB1DD7" w:rsidRPr="003559A2">
        <w:rPr>
          <w:rFonts w:ascii="Tahoma" w:hAnsi="Tahoma" w:cs="Tahoma"/>
          <w:color w:val="000000"/>
          <w:sz w:val="20"/>
          <w:szCs w:val="20"/>
        </w:rPr>
        <w:t>t available they must contact a TPD asap. O</w:t>
      </w:r>
      <w:r w:rsidRPr="003559A2">
        <w:rPr>
          <w:rFonts w:ascii="Tahoma" w:hAnsi="Tahoma" w:cs="Tahoma"/>
          <w:color w:val="000000"/>
          <w:sz w:val="20"/>
          <w:szCs w:val="20"/>
        </w:rPr>
        <w:t xml:space="preserve">nly a few modules are so restricted as to require competitive entry </w:t>
      </w:r>
      <w:r w:rsidR="00EB1DD7" w:rsidRPr="003559A2">
        <w:rPr>
          <w:rFonts w:ascii="Tahoma" w:hAnsi="Tahoma" w:cs="Tahoma"/>
          <w:color w:val="000000"/>
          <w:sz w:val="20"/>
          <w:szCs w:val="20"/>
        </w:rPr>
        <w:t>and a trainee can be rotated to an alternative site if required.</w:t>
      </w:r>
    </w:p>
    <w:p w:rsidR="003559A2" w:rsidRPr="003559A2" w:rsidRDefault="00EB1DD7" w:rsidP="00D95A82">
      <w:pPr>
        <w:numPr>
          <w:ilvl w:val="0"/>
          <w:numId w:val="3"/>
        </w:numPr>
        <w:spacing w:after="120"/>
        <w:rPr>
          <w:rFonts w:ascii="Calibri" w:hAnsi="Calibri"/>
          <w:sz w:val="22"/>
          <w:szCs w:val="22"/>
        </w:rPr>
      </w:pPr>
      <w:r w:rsidRPr="003559A2">
        <w:rPr>
          <w:rFonts w:ascii="Tahoma" w:hAnsi="Tahoma" w:cs="Tahoma"/>
          <w:color w:val="000000"/>
          <w:sz w:val="20"/>
          <w:szCs w:val="20"/>
        </w:rPr>
        <w:t xml:space="preserve">If the majority of the module can be covered in a particular unit but a </w:t>
      </w:r>
      <w:r w:rsidRPr="00D95A82">
        <w:rPr>
          <w:rFonts w:ascii="Tahoma" w:hAnsi="Tahoma" w:cs="Tahoma"/>
          <w:i/>
          <w:color w:val="000000"/>
          <w:sz w:val="20"/>
          <w:szCs w:val="20"/>
        </w:rPr>
        <w:t>small</w:t>
      </w:r>
      <w:r w:rsidRPr="003559A2">
        <w:rPr>
          <w:rFonts w:ascii="Tahoma" w:hAnsi="Tahoma" w:cs="Tahoma"/>
          <w:color w:val="000000"/>
          <w:sz w:val="20"/>
          <w:szCs w:val="20"/>
        </w:rPr>
        <w:t xml:space="preserve"> element cannot then this should not preclude </w:t>
      </w:r>
      <w:r w:rsidR="003559A2" w:rsidRPr="003559A2">
        <w:rPr>
          <w:rFonts w:ascii="Tahoma" w:hAnsi="Tahoma" w:cs="Tahoma"/>
          <w:color w:val="000000"/>
          <w:sz w:val="20"/>
          <w:szCs w:val="20"/>
        </w:rPr>
        <w:t>completion of the unit on that site. T</w:t>
      </w:r>
      <w:r w:rsidRPr="003559A2">
        <w:rPr>
          <w:rFonts w:ascii="Tahoma" w:hAnsi="Tahoma" w:cs="Tahoma"/>
          <w:color w:val="000000"/>
          <w:sz w:val="20"/>
          <w:szCs w:val="20"/>
        </w:rPr>
        <w:t xml:space="preserve">rainees </w:t>
      </w:r>
      <w:r w:rsidR="00FC5D77">
        <w:rPr>
          <w:rFonts w:ascii="Tahoma" w:hAnsi="Tahoma" w:cs="Tahoma"/>
          <w:color w:val="000000"/>
          <w:sz w:val="20"/>
          <w:szCs w:val="20"/>
        </w:rPr>
        <w:t>should be able</w:t>
      </w:r>
      <w:r w:rsidR="003559A2" w:rsidRPr="003559A2">
        <w:rPr>
          <w:rFonts w:ascii="Tahoma" w:hAnsi="Tahoma" w:cs="Tahoma"/>
          <w:color w:val="000000"/>
          <w:sz w:val="20"/>
          <w:szCs w:val="20"/>
        </w:rPr>
        <w:t xml:space="preserve"> to cover such</w:t>
      </w:r>
      <w:r w:rsidRPr="003559A2">
        <w:rPr>
          <w:rFonts w:ascii="Tahoma" w:hAnsi="Tahoma" w:cs="Tahoma"/>
          <w:color w:val="000000"/>
          <w:sz w:val="20"/>
          <w:szCs w:val="20"/>
        </w:rPr>
        <w:t xml:space="preserve"> element</w:t>
      </w:r>
      <w:r w:rsidR="003559A2" w:rsidRPr="003559A2">
        <w:rPr>
          <w:rFonts w:ascii="Tahoma" w:hAnsi="Tahoma" w:cs="Tahoma"/>
          <w:color w:val="000000"/>
          <w:sz w:val="20"/>
          <w:szCs w:val="20"/>
        </w:rPr>
        <w:t xml:space="preserve">s by visiting </w:t>
      </w:r>
      <w:r w:rsidRPr="003559A2">
        <w:rPr>
          <w:rFonts w:ascii="Tahoma" w:hAnsi="Tahoma" w:cs="Tahoma"/>
          <w:color w:val="000000"/>
          <w:sz w:val="20"/>
          <w:szCs w:val="20"/>
        </w:rPr>
        <w:t>other site</w:t>
      </w:r>
      <w:r w:rsidR="00FC5D77">
        <w:rPr>
          <w:rFonts w:ascii="Tahoma" w:hAnsi="Tahoma" w:cs="Tahoma"/>
          <w:color w:val="000000"/>
          <w:sz w:val="20"/>
          <w:szCs w:val="20"/>
        </w:rPr>
        <w:t>s,</w:t>
      </w:r>
      <w:r w:rsidR="003559A2" w:rsidRPr="003559A2">
        <w:rPr>
          <w:rFonts w:ascii="Tahoma" w:hAnsi="Tahoma" w:cs="Tahoma"/>
          <w:color w:val="000000"/>
          <w:sz w:val="20"/>
          <w:szCs w:val="20"/>
        </w:rPr>
        <w:t xml:space="preserve"> attending meetings etc</w:t>
      </w:r>
      <w:r w:rsidR="00D95A82">
        <w:rPr>
          <w:rFonts w:ascii="Tahoma" w:hAnsi="Tahoma" w:cs="Tahoma"/>
          <w:color w:val="000000"/>
          <w:sz w:val="20"/>
          <w:szCs w:val="20"/>
        </w:rPr>
        <w:t>.</w:t>
      </w:r>
      <w:r w:rsidRPr="003559A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C5D77">
        <w:rPr>
          <w:rFonts w:ascii="Tahoma" w:hAnsi="Tahoma" w:cs="Tahoma"/>
          <w:color w:val="000000"/>
          <w:sz w:val="20"/>
          <w:szCs w:val="20"/>
        </w:rPr>
        <w:t>and are encouraged to</w:t>
      </w:r>
      <w:r w:rsidR="00196DA2">
        <w:rPr>
          <w:rFonts w:ascii="Tahoma" w:hAnsi="Tahoma" w:cs="Tahoma"/>
          <w:color w:val="000000"/>
          <w:sz w:val="20"/>
          <w:szCs w:val="20"/>
        </w:rPr>
        <w:t xml:space="preserve"> arrange this in advance.</w:t>
      </w:r>
    </w:p>
    <w:p w:rsidR="007565D2" w:rsidRPr="006E0C5F" w:rsidRDefault="007565D2" w:rsidP="007565D2">
      <w:pPr>
        <w:rPr>
          <w:rFonts w:ascii="Calibri" w:hAnsi="Calibri"/>
          <w:sz w:val="22"/>
          <w:szCs w:val="22"/>
        </w:rPr>
      </w:pPr>
    </w:p>
    <w:sectPr w:rsidR="007565D2" w:rsidRPr="006E0C5F" w:rsidSect="001E6E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0C" w:rsidRDefault="0052290C" w:rsidP="00A94040">
      <w:r>
        <w:separator/>
      </w:r>
    </w:p>
  </w:endnote>
  <w:endnote w:type="continuationSeparator" w:id="0">
    <w:p w:rsidR="0052290C" w:rsidRDefault="0052290C" w:rsidP="00A9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40" w:rsidRDefault="00A940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40" w:rsidRDefault="00A940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40" w:rsidRDefault="00A940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0C" w:rsidRDefault="0052290C" w:rsidP="00A94040">
      <w:r>
        <w:separator/>
      </w:r>
    </w:p>
  </w:footnote>
  <w:footnote w:type="continuationSeparator" w:id="0">
    <w:p w:rsidR="0052290C" w:rsidRDefault="0052290C" w:rsidP="00A94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40" w:rsidRDefault="00A940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40" w:rsidRDefault="00A940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40" w:rsidRDefault="00A940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78B6"/>
    <w:multiLevelType w:val="multilevel"/>
    <w:tmpl w:val="58A6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55CE3"/>
    <w:multiLevelType w:val="hybridMultilevel"/>
    <w:tmpl w:val="7D0A5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44F45"/>
    <w:multiLevelType w:val="hybridMultilevel"/>
    <w:tmpl w:val="D68C5B0C"/>
    <w:lvl w:ilvl="0" w:tplc="68785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7"/>
    <w:rsid w:val="00093EB8"/>
    <w:rsid w:val="00196DA2"/>
    <w:rsid w:val="001E6EC7"/>
    <w:rsid w:val="00213502"/>
    <w:rsid w:val="00236EEB"/>
    <w:rsid w:val="002F6841"/>
    <w:rsid w:val="003559A2"/>
    <w:rsid w:val="004000BA"/>
    <w:rsid w:val="004268DE"/>
    <w:rsid w:val="0046349F"/>
    <w:rsid w:val="004A49C5"/>
    <w:rsid w:val="0052290C"/>
    <w:rsid w:val="005C5D0C"/>
    <w:rsid w:val="005D4364"/>
    <w:rsid w:val="005E69F0"/>
    <w:rsid w:val="006E0C5F"/>
    <w:rsid w:val="00700A33"/>
    <w:rsid w:val="007565D2"/>
    <w:rsid w:val="009356D8"/>
    <w:rsid w:val="00990AB7"/>
    <w:rsid w:val="00A66E8D"/>
    <w:rsid w:val="00A94040"/>
    <w:rsid w:val="00B17801"/>
    <w:rsid w:val="00CC5E12"/>
    <w:rsid w:val="00D95A82"/>
    <w:rsid w:val="00DC6507"/>
    <w:rsid w:val="00DD3BFA"/>
    <w:rsid w:val="00EB1DD7"/>
    <w:rsid w:val="00F25985"/>
    <w:rsid w:val="00FC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A94040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9404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9404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9404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940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A94040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9404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9404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9404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940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oa.ac.uk/system/files/TRG-CCT-ANNEX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7FE256AA</Template>
  <TotalTime>0</TotalTime>
  <Pages>2</Pages>
  <Words>372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Teaching Hospitals NHS Foundation Trust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Horn</dc:creator>
  <cp:lastModifiedBy>Jill Horn</cp:lastModifiedBy>
  <cp:revision>2</cp:revision>
  <dcterms:created xsi:type="dcterms:W3CDTF">2017-03-20T10:47:00Z</dcterms:created>
  <dcterms:modified xsi:type="dcterms:W3CDTF">2017-03-20T10:47:00Z</dcterms:modified>
</cp:coreProperties>
</file>