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A0DB" w14:textId="77777777" w:rsidR="009A589B" w:rsidRDefault="009A589B" w:rsidP="009A589B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5ACF98" wp14:editId="131710EC">
            <wp:simplePos x="0" y="0"/>
            <wp:positionH relativeFrom="column">
              <wp:posOffset>4524375</wp:posOffset>
            </wp:positionH>
            <wp:positionV relativeFrom="paragraph">
              <wp:posOffset>276</wp:posOffset>
            </wp:positionV>
            <wp:extent cx="1333500" cy="1292920"/>
            <wp:effectExtent l="0" t="0" r="0" b="2540"/>
            <wp:wrapTight wrapText="bothSides">
              <wp:wrapPolygon edited="0">
                <wp:start x="0" y="0"/>
                <wp:lineTo x="0" y="21324"/>
                <wp:lineTo x="21291" y="21324"/>
                <wp:lineTo x="21291" y="0"/>
                <wp:lineTo x="0" y="0"/>
              </wp:wrapPolygon>
            </wp:wrapTight>
            <wp:docPr id="1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828" cy="129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A16C4" w14:textId="77777777" w:rsidR="00A109A1" w:rsidRPr="00A109A1" w:rsidRDefault="00A109A1" w:rsidP="00A109A1">
      <w:pPr>
        <w:rPr>
          <w:sz w:val="32"/>
          <w:szCs w:val="32"/>
        </w:rPr>
      </w:pPr>
    </w:p>
    <w:p w14:paraId="2EEDBBF4" w14:textId="77777777" w:rsidR="009A589B" w:rsidRDefault="009A589B" w:rsidP="00A109A1">
      <w:pPr>
        <w:rPr>
          <w:rFonts w:ascii="Arial" w:hAnsi="Arial" w:cs="Arial"/>
          <w:b/>
          <w:bCs/>
          <w:sz w:val="32"/>
          <w:szCs w:val="32"/>
        </w:rPr>
      </w:pPr>
    </w:p>
    <w:p w14:paraId="7D9E1288" w14:textId="71504014" w:rsidR="009A589B" w:rsidRPr="009A589B" w:rsidRDefault="00A109A1" w:rsidP="00A109A1">
      <w:pPr>
        <w:rPr>
          <w:rFonts w:ascii="Arial" w:hAnsi="Arial" w:cs="Arial"/>
          <w:b/>
          <w:bCs/>
          <w:sz w:val="32"/>
          <w:szCs w:val="32"/>
        </w:rPr>
      </w:pPr>
      <w:r w:rsidRPr="00A109A1">
        <w:rPr>
          <w:rFonts w:ascii="Arial" w:hAnsi="Arial" w:cs="Arial"/>
          <w:b/>
          <w:bCs/>
          <w:sz w:val="32"/>
          <w:szCs w:val="32"/>
        </w:rPr>
        <w:t>Dental Foundation Training (DFT) Primary Care Equipment Guidance</w:t>
      </w:r>
    </w:p>
    <w:p w14:paraId="2FAF009C" w14:textId="036CBD12" w:rsidR="00A109A1" w:rsidRDefault="00A109A1" w:rsidP="00A109A1">
      <w:pPr>
        <w:rPr>
          <w:rFonts w:ascii="Arial" w:hAnsi="Arial" w:cs="Arial"/>
        </w:rPr>
      </w:pPr>
      <w:r w:rsidRPr="00A109A1">
        <w:rPr>
          <w:rFonts w:ascii="Arial" w:hAnsi="Arial" w:cs="Arial"/>
        </w:rPr>
        <w:t xml:space="preserve">In addition to the expected equipment any dentist in primary care would have, the following list has been issued to demonstrate equipment that </w:t>
      </w:r>
      <w:r>
        <w:rPr>
          <w:rFonts w:ascii="Arial" w:hAnsi="Arial" w:cs="Arial"/>
        </w:rPr>
        <w:t>the NHS England (</w:t>
      </w:r>
      <w:r w:rsidRPr="00A109A1">
        <w:rPr>
          <w:rFonts w:ascii="Arial" w:hAnsi="Arial" w:cs="Arial"/>
        </w:rPr>
        <w:t>Yorkshire and the Humber</w:t>
      </w:r>
      <w:r>
        <w:rPr>
          <w:rFonts w:ascii="Arial" w:hAnsi="Arial" w:cs="Arial"/>
        </w:rPr>
        <w:t>) School of Dentistry</w:t>
      </w:r>
      <w:r w:rsidRPr="00A109A1">
        <w:rPr>
          <w:rFonts w:ascii="Arial" w:hAnsi="Arial" w:cs="Arial"/>
        </w:rPr>
        <w:t xml:space="preserve"> would expect a Foundation Dentist to have access 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1246"/>
        <w:gridCol w:w="1230"/>
        <w:gridCol w:w="3446"/>
      </w:tblGrid>
      <w:tr w:rsidR="00A109A1" w14:paraId="5606C304" w14:textId="77777777" w:rsidTr="009A589B">
        <w:tc>
          <w:tcPr>
            <w:tcW w:w="3094" w:type="dxa"/>
          </w:tcPr>
          <w:p w14:paraId="7FB685E2" w14:textId="46307965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1246" w:type="dxa"/>
          </w:tcPr>
          <w:p w14:paraId="183B2198" w14:textId="6EAABFD2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230" w:type="dxa"/>
          </w:tcPr>
          <w:p w14:paraId="2F848CAD" w14:textId="25D83713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3446" w:type="dxa"/>
          </w:tcPr>
          <w:p w14:paraId="0B159521" w14:textId="1EDB367F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Rationale</w:t>
            </w:r>
          </w:p>
        </w:tc>
      </w:tr>
      <w:tr w:rsidR="00A109A1" w14:paraId="14E8CF38" w14:textId="77777777" w:rsidTr="009A589B">
        <w:tc>
          <w:tcPr>
            <w:tcW w:w="3094" w:type="dxa"/>
          </w:tcPr>
          <w:p w14:paraId="5C745ADA" w14:textId="53CEE03E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based clinical records</w:t>
            </w:r>
          </w:p>
        </w:tc>
        <w:tc>
          <w:tcPr>
            <w:tcW w:w="1246" w:type="dxa"/>
          </w:tcPr>
          <w:p w14:paraId="76CE3455" w14:textId="427D9E83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0" w:type="dxa"/>
          </w:tcPr>
          <w:p w14:paraId="5FBAAA98" w14:textId="77777777" w:rsidR="00A109A1" w:rsidRDefault="00A109A1" w:rsidP="00A109A1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172F8407" w14:textId="29EAF73F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audit purposes</w:t>
            </w:r>
          </w:p>
        </w:tc>
      </w:tr>
      <w:tr w:rsidR="00A109A1" w14:paraId="666528AB" w14:textId="77777777" w:rsidTr="009A589B">
        <w:tc>
          <w:tcPr>
            <w:tcW w:w="3094" w:type="dxa"/>
          </w:tcPr>
          <w:p w14:paraId="4262668B" w14:textId="6C7C2231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Fully integrated digital radiography</w:t>
            </w:r>
          </w:p>
        </w:tc>
        <w:tc>
          <w:tcPr>
            <w:tcW w:w="1246" w:type="dxa"/>
          </w:tcPr>
          <w:p w14:paraId="5404BC1C" w14:textId="77777777" w:rsidR="00A109A1" w:rsidRDefault="00A109A1" w:rsidP="00A109A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54B1614D" w14:textId="7138B107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446" w:type="dxa"/>
          </w:tcPr>
          <w:p w14:paraId="33EEACBA" w14:textId="277DF48F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assessment purposes, audit and presentations</w:t>
            </w:r>
          </w:p>
        </w:tc>
      </w:tr>
      <w:tr w:rsidR="00A109A1" w14:paraId="5EBD151D" w14:textId="77777777" w:rsidTr="009A589B">
        <w:tc>
          <w:tcPr>
            <w:tcW w:w="3094" w:type="dxa"/>
          </w:tcPr>
          <w:p w14:paraId="51D624CD" w14:textId="0D4B9662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based internet access</w:t>
            </w:r>
          </w:p>
        </w:tc>
        <w:tc>
          <w:tcPr>
            <w:tcW w:w="1246" w:type="dxa"/>
          </w:tcPr>
          <w:p w14:paraId="1F4EAFE8" w14:textId="27D4E01B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0" w:type="dxa"/>
          </w:tcPr>
          <w:p w14:paraId="28BF0C2F" w14:textId="77777777" w:rsidR="00A109A1" w:rsidRDefault="00A109A1" w:rsidP="00A109A1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444323B1" w14:textId="7E360F70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proofErr w:type="spellStart"/>
            <w:r>
              <w:rPr>
                <w:rFonts w:ascii="Arial" w:hAnsi="Arial" w:cs="Arial"/>
              </w:rPr>
              <w:t>ePortfolio</w:t>
            </w:r>
            <w:proofErr w:type="spellEnd"/>
            <w:r>
              <w:rPr>
                <w:rFonts w:ascii="Arial" w:hAnsi="Arial" w:cs="Arial"/>
              </w:rPr>
              <w:t xml:space="preserve"> completion and general eLearning</w:t>
            </w:r>
          </w:p>
        </w:tc>
      </w:tr>
      <w:tr w:rsidR="00A109A1" w14:paraId="2B17C2DC" w14:textId="77777777" w:rsidTr="009A589B">
        <w:tc>
          <w:tcPr>
            <w:tcW w:w="3094" w:type="dxa"/>
          </w:tcPr>
          <w:p w14:paraId="16DFF53F" w14:textId="72145E9A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photography and appropriate camera, lenses, mirrors, retractors</w:t>
            </w:r>
          </w:p>
        </w:tc>
        <w:tc>
          <w:tcPr>
            <w:tcW w:w="1246" w:type="dxa"/>
          </w:tcPr>
          <w:p w14:paraId="28D02118" w14:textId="127E2EE9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0" w:type="dxa"/>
          </w:tcPr>
          <w:p w14:paraId="539259D4" w14:textId="77777777" w:rsidR="00A109A1" w:rsidRDefault="00A109A1" w:rsidP="00A109A1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308CF820" w14:textId="4F4FC4A7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assessment purposes and presentations</w:t>
            </w:r>
          </w:p>
        </w:tc>
      </w:tr>
      <w:tr w:rsidR="00A109A1" w14:paraId="0C1E9171" w14:textId="77777777" w:rsidTr="009A589B">
        <w:tc>
          <w:tcPr>
            <w:tcW w:w="3094" w:type="dxa"/>
          </w:tcPr>
          <w:p w14:paraId="499B4697" w14:textId="05433B82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Intraoral camera</w:t>
            </w:r>
          </w:p>
        </w:tc>
        <w:tc>
          <w:tcPr>
            <w:tcW w:w="1246" w:type="dxa"/>
          </w:tcPr>
          <w:p w14:paraId="64EFF26F" w14:textId="77777777" w:rsidR="00A109A1" w:rsidRDefault="00A109A1" w:rsidP="00A109A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64347586" w14:textId="7F4E8F2A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446" w:type="dxa"/>
          </w:tcPr>
          <w:p w14:paraId="4B8D706B" w14:textId="284D6F13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patient education and clinical case discussions</w:t>
            </w:r>
          </w:p>
        </w:tc>
      </w:tr>
      <w:tr w:rsidR="00A109A1" w14:paraId="05829395" w14:textId="77777777" w:rsidTr="009A589B">
        <w:tc>
          <w:tcPr>
            <w:tcW w:w="3094" w:type="dxa"/>
          </w:tcPr>
          <w:p w14:paraId="14313414" w14:textId="7C68D2EF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Medical emergency drugs as per </w:t>
            </w:r>
            <w:proofErr w:type="spellStart"/>
            <w:r>
              <w:rPr>
                <w:rFonts w:ascii="Arial" w:hAnsi="Arial" w:cs="Arial"/>
              </w:rPr>
              <w:t>Resusc</w:t>
            </w:r>
            <w:proofErr w:type="spellEnd"/>
            <w:r>
              <w:rPr>
                <w:rFonts w:ascii="Arial" w:hAnsi="Arial" w:cs="Arial"/>
              </w:rPr>
              <w:t xml:space="preserve"> Council Guidance</w:t>
            </w:r>
          </w:p>
        </w:tc>
        <w:tc>
          <w:tcPr>
            <w:tcW w:w="1246" w:type="dxa"/>
          </w:tcPr>
          <w:p w14:paraId="3EA79325" w14:textId="5C711F5F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0" w:type="dxa"/>
          </w:tcPr>
          <w:p w14:paraId="3DC4CEE7" w14:textId="77777777" w:rsidR="00A109A1" w:rsidRDefault="00A109A1" w:rsidP="00A109A1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4242534D" w14:textId="40B6AC7E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practice</w:t>
            </w:r>
          </w:p>
        </w:tc>
      </w:tr>
      <w:tr w:rsidR="00A109A1" w14:paraId="0F6B2A23" w14:textId="77777777" w:rsidTr="009A589B">
        <w:tc>
          <w:tcPr>
            <w:tcW w:w="3094" w:type="dxa"/>
          </w:tcPr>
          <w:p w14:paraId="71D09F66" w14:textId="3BFC5292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Defibrillator and adult pads (and spare set)</w:t>
            </w:r>
          </w:p>
        </w:tc>
        <w:tc>
          <w:tcPr>
            <w:tcW w:w="1246" w:type="dxa"/>
          </w:tcPr>
          <w:p w14:paraId="6B80091C" w14:textId="21C9270D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0" w:type="dxa"/>
          </w:tcPr>
          <w:p w14:paraId="29EA5728" w14:textId="77777777" w:rsidR="00A109A1" w:rsidRDefault="00A109A1" w:rsidP="00A109A1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1E1E673C" w14:textId="3A546AA4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practice</w:t>
            </w:r>
          </w:p>
        </w:tc>
      </w:tr>
      <w:tr w:rsidR="00A109A1" w14:paraId="398D76CF" w14:textId="77777777" w:rsidTr="009A589B">
        <w:tc>
          <w:tcPr>
            <w:tcW w:w="3094" w:type="dxa"/>
          </w:tcPr>
          <w:p w14:paraId="1BC2E381" w14:textId="210171FD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Paediatric pads for defibrillator (or equivalent)</w:t>
            </w:r>
          </w:p>
        </w:tc>
        <w:tc>
          <w:tcPr>
            <w:tcW w:w="1246" w:type="dxa"/>
          </w:tcPr>
          <w:p w14:paraId="1E9E87A9" w14:textId="77777777" w:rsidR="00A109A1" w:rsidRDefault="00A109A1" w:rsidP="00A109A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42C70FEC" w14:textId="4F7EC822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446" w:type="dxa"/>
          </w:tcPr>
          <w:p w14:paraId="69BAAD0B" w14:textId="579B4AE2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practice should be risk assessed</w:t>
            </w:r>
          </w:p>
        </w:tc>
      </w:tr>
      <w:tr w:rsidR="00A109A1" w14:paraId="29F1CFD0" w14:textId="77777777" w:rsidTr="009A589B">
        <w:tc>
          <w:tcPr>
            <w:tcW w:w="3094" w:type="dxa"/>
          </w:tcPr>
          <w:p w14:paraId="5269E77A" w14:textId="77777777" w:rsidR="00A109A1" w:rsidRDefault="00A109A1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Surgical kit:</w:t>
            </w:r>
          </w:p>
          <w:p w14:paraId="4D235DFF" w14:textId="24E1AE24" w:rsidR="00A109A1" w:rsidRPr="00A109A1" w:rsidRDefault="00A109A1" w:rsidP="00A10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Handpiece, bur,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irrigant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scalpel, retractor, periosteal elevator, tooth tissue forceps, sutures, narrow tipped aspirator tips</w:t>
            </w:r>
          </w:p>
        </w:tc>
        <w:tc>
          <w:tcPr>
            <w:tcW w:w="1246" w:type="dxa"/>
          </w:tcPr>
          <w:p w14:paraId="60D9CF6F" w14:textId="4FBEF6A3" w:rsidR="00A109A1" w:rsidRDefault="001730E7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0" w:type="dxa"/>
          </w:tcPr>
          <w:p w14:paraId="1EF7C053" w14:textId="77777777" w:rsidR="00A109A1" w:rsidRDefault="00A109A1" w:rsidP="00A109A1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2199F251" w14:textId="15878B5B" w:rsidR="00A109A1" w:rsidRDefault="001730E7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enable best practice teaching</w:t>
            </w:r>
          </w:p>
        </w:tc>
      </w:tr>
      <w:tr w:rsidR="00A109A1" w14:paraId="382C9C83" w14:textId="77777777" w:rsidTr="009A589B">
        <w:tc>
          <w:tcPr>
            <w:tcW w:w="3094" w:type="dxa"/>
          </w:tcPr>
          <w:p w14:paraId="4755313E" w14:textId="5099FB18" w:rsidR="00A109A1" w:rsidRDefault="001730E7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Stainless Steel Crowns</w:t>
            </w:r>
          </w:p>
        </w:tc>
        <w:tc>
          <w:tcPr>
            <w:tcW w:w="1246" w:type="dxa"/>
          </w:tcPr>
          <w:p w14:paraId="2A4EED8C" w14:textId="5014C979" w:rsidR="00A109A1" w:rsidRDefault="001730E7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0" w:type="dxa"/>
          </w:tcPr>
          <w:p w14:paraId="30FBCC0F" w14:textId="77777777" w:rsidR="00A109A1" w:rsidRDefault="00A109A1" w:rsidP="00A109A1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46D017C4" w14:textId="2A0ED6B6" w:rsidR="00A109A1" w:rsidRDefault="001730E7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enable best practice teaching</w:t>
            </w:r>
          </w:p>
        </w:tc>
      </w:tr>
      <w:tr w:rsidR="00A109A1" w14:paraId="1C143B8D" w14:textId="77777777" w:rsidTr="009A589B">
        <w:tc>
          <w:tcPr>
            <w:tcW w:w="3094" w:type="dxa"/>
          </w:tcPr>
          <w:p w14:paraId="7AF69F9D" w14:textId="47C8AFDC" w:rsidR="00A109A1" w:rsidRDefault="001730E7" w:rsidP="001730E7">
            <w:pPr>
              <w:rPr>
                <w:rFonts w:ascii="Arial" w:hAnsi="Arial" w:cs="Arial"/>
              </w:rPr>
            </w:pPr>
            <w:r w:rsidRPr="001730E7">
              <w:rPr>
                <w:rFonts w:ascii="Arial" w:hAnsi="Arial" w:cs="Arial"/>
              </w:rPr>
              <w:t>Facebow &amp; Semi-adjustable</w:t>
            </w:r>
            <w:r>
              <w:rPr>
                <w:rFonts w:ascii="Arial" w:hAnsi="Arial" w:cs="Arial"/>
              </w:rPr>
              <w:t xml:space="preserve"> </w:t>
            </w:r>
            <w:r w:rsidRPr="001730E7">
              <w:rPr>
                <w:rFonts w:ascii="Arial" w:hAnsi="Arial" w:cs="Arial"/>
              </w:rPr>
              <w:t>articulator or facility to loan from Dental Laboratory</w:t>
            </w:r>
          </w:p>
        </w:tc>
        <w:tc>
          <w:tcPr>
            <w:tcW w:w="1246" w:type="dxa"/>
          </w:tcPr>
          <w:p w14:paraId="62563EC6" w14:textId="790F7372" w:rsidR="00A109A1" w:rsidRDefault="001730E7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0" w:type="dxa"/>
          </w:tcPr>
          <w:p w14:paraId="21B30BC5" w14:textId="77777777" w:rsidR="00A109A1" w:rsidRDefault="00A109A1" w:rsidP="00A109A1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6CD7563C" w14:textId="6180D4B6" w:rsidR="00A109A1" w:rsidRDefault="001730E7" w:rsidP="00A109A1">
            <w:pPr>
              <w:rPr>
                <w:rFonts w:ascii="Arial" w:hAnsi="Arial" w:cs="Arial"/>
              </w:rPr>
            </w:pPr>
            <w:r w:rsidRPr="001730E7">
              <w:rPr>
                <w:rFonts w:ascii="Arial" w:hAnsi="Arial" w:cs="Arial"/>
              </w:rPr>
              <w:t>To develop skills in occlusal analysis.</w:t>
            </w:r>
          </w:p>
        </w:tc>
      </w:tr>
      <w:tr w:rsidR="00A109A1" w14:paraId="357A2257" w14:textId="77777777" w:rsidTr="009A589B">
        <w:tc>
          <w:tcPr>
            <w:tcW w:w="3094" w:type="dxa"/>
          </w:tcPr>
          <w:p w14:paraId="5462D552" w14:textId="2C05579F" w:rsidR="00A109A1" w:rsidRDefault="009A589B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Composite matrix systems (Sectional matrix)</w:t>
            </w:r>
          </w:p>
        </w:tc>
        <w:tc>
          <w:tcPr>
            <w:tcW w:w="1246" w:type="dxa"/>
          </w:tcPr>
          <w:p w14:paraId="6E9E8D64" w14:textId="63FF43A7" w:rsidR="00A109A1" w:rsidRDefault="009A589B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0" w:type="dxa"/>
          </w:tcPr>
          <w:p w14:paraId="53A33707" w14:textId="77777777" w:rsidR="00A109A1" w:rsidRDefault="00A109A1" w:rsidP="00A109A1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3782F191" w14:textId="07095D33" w:rsidR="00A109A1" w:rsidRDefault="009A589B" w:rsidP="00A1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FD will be taught to use this system to improve direct composite placement</w:t>
            </w:r>
          </w:p>
        </w:tc>
      </w:tr>
      <w:tr w:rsidR="009A589B" w14:paraId="50C4DB5C" w14:textId="77777777" w:rsidTr="009A589B">
        <w:tc>
          <w:tcPr>
            <w:tcW w:w="3094" w:type="dxa"/>
          </w:tcPr>
          <w:p w14:paraId="7826CC2D" w14:textId="1BA3B0FF" w:rsidR="009A589B" w:rsidRDefault="009A589B" w:rsidP="009A5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Ambidextrous dental chair available</w:t>
            </w:r>
          </w:p>
        </w:tc>
        <w:tc>
          <w:tcPr>
            <w:tcW w:w="1246" w:type="dxa"/>
          </w:tcPr>
          <w:p w14:paraId="0373CFD7" w14:textId="71C9E7E6" w:rsidR="009A589B" w:rsidRDefault="009A589B" w:rsidP="009A5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0" w:type="dxa"/>
          </w:tcPr>
          <w:p w14:paraId="0CF91764" w14:textId="77777777" w:rsidR="009A589B" w:rsidRDefault="009A589B" w:rsidP="009A589B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4B031837" w14:textId="3F69896B" w:rsidR="009A589B" w:rsidRDefault="009A589B" w:rsidP="009A5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Suitable for left or </w:t>
            </w:r>
            <w:proofErr w:type="gramStart"/>
            <w:r>
              <w:rPr>
                <w:rFonts w:ascii="Arial" w:hAnsi="Arial" w:cs="Arial"/>
              </w:rPr>
              <w:t>right handed</w:t>
            </w:r>
            <w:proofErr w:type="gramEnd"/>
            <w:r>
              <w:rPr>
                <w:rFonts w:ascii="Arial" w:hAnsi="Arial" w:cs="Arial"/>
              </w:rPr>
              <w:t xml:space="preserve"> FDs</w:t>
            </w:r>
          </w:p>
        </w:tc>
      </w:tr>
      <w:tr w:rsidR="009A589B" w14:paraId="195B7F6E" w14:textId="77777777" w:rsidTr="009A589B">
        <w:tc>
          <w:tcPr>
            <w:tcW w:w="3094" w:type="dxa"/>
          </w:tcPr>
          <w:p w14:paraId="4C6ED203" w14:textId="52D45193" w:rsidR="009A589B" w:rsidRDefault="009A589B" w:rsidP="009A589B">
            <w:pPr>
              <w:rPr>
                <w:rFonts w:ascii="Arial" w:hAnsi="Arial" w:cs="Arial"/>
              </w:rPr>
            </w:pPr>
            <w:r w:rsidRPr="009A589B">
              <w:rPr>
                <w:rFonts w:ascii="Arial" w:hAnsi="Arial" w:cs="Arial"/>
              </w:rPr>
              <w:lastRenderedPageBreak/>
              <w:t xml:space="preserve">Rotary Endodontic system Hand </w:t>
            </w:r>
            <w:proofErr w:type="spellStart"/>
            <w:proofErr w:type="gramStart"/>
            <w:r w:rsidRPr="009A589B">
              <w:rPr>
                <w:rFonts w:ascii="Arial" w:hAnsi="Arial" w:cs="Arial"/>
              </w:rPr>
              <w:t>files,Master</w:t>
            </w:r>
            <w:proofErr w:type="spellEnd"/>
            <w:proofErr w:type="gramEnd"/>
            <w:r w:rsidRPr="009A589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A589B">
              <w:rPr>
                <w:rFonts w:ascii="Arial" w:hAnsi="Arial" w:cs="Arial"/>
              </w:rPr>
              <w:t xml:space="preserve">Accessory points/ spreaders/ </w:t>
            </w:r>
            <w:proofErr w:type="spellStart"/>
            <w:r w:rsidRPr="009A589B">
              <w:rPr>
                <w:rFonts w:ascii="Arial" w:hAnsi="Arial" w:cs="Arial"/>
              </w:rPr>
              <w:t>NaClO</w:t>
            </w:r>
            <w:proofErr w:type="spellEnd"/>
            <w:r w:rsidRPr="009A589B">
              <w:rPr>
                <w:rFonts w:ascii="Arial" w:hAnsi="Arial" w:cs="Arial"/>
              </w:rPr>
              <w:t xml:space="preserve"> </w:t>
            </w:r>
            <w:proofErr w:type="spellStart"/>
            <w:r w:rsidRPr="009A589B">
              <w:rPr>
                <w:rFonts w:ascii="Arial" w:hAnsi="Arial" w:cs="Arial"/>
              </w:rPr>
              <w:t>irrigant</w:t>
            </w:r>
            <w:proofErr w:type="spellEnd"/>
            <w:r w:rsidRPr="009A589B">
              <w:rPr>
                <w:rFonts w:ascii="Arial" w:hAnsi="Arial" w:cs="Arial"/>
              </w:rPr>
              <w:t>/rubber dam &amp; clamps/</w:t>
            </w:r>
            <w:proofErr w:type="spellStart"/>
            <w:r w:rsidRPr="009A589B">
              <w:rPr>
                <w:rFonts w:ascii="Arial" w:hAnsi="Arial" w:cs="Arial"/>
              </w:rPr>
              <w:t>oroseal</w:t>
            </w:r>
            <w:proofErr w:type="spellEnd"/>
            <w:r w:rsidRPr="009A589B">
              <w:rPr>
                <w:rFonts w:ascii="Arial" w:hAnsi="Arial" w:cs="Arial"/>
              </w:rPr>
              <w:t xml:space="preserve"> or equivalent.</w:t>
            </w:r>
          </w:p>
        </w:tc>
        <w:tc>
          <w:tcPr>
            <w:tcW w:w="1246" w:type="dxa"/>
          </w:tcPr>
          <w:p w14:paraId="527B8B8A" w14:textId="364A5CA1" w:rsidR="009A589B" w:rsidRDefault="009A589B" w:rsidP="009A5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0" w:type="dxa"/>
          </w:tcPr>
          <w:p w14:paraId="68A50DCA" w14:textId="77777777" w:rsidR="009A589B" w:rsidRDefault="009A589B" w:rsidP="009A589B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1F0EE45D" w14:textId="6DBA08FA" w:rsidR="009A589B" w:rsidRDefault="009A589B" w:rsidP="009A589B">
            <w:pPr>
              <w:rPr>
                <w:rFonts w:ascii="Arial" w:hAnsi="Arial" w:cs="Arial"/>
              </w:rPr>
            </w:pPr>
            <w:r w:rsidRPr="009A589B">
              <w:rPr>
                <w:rFonts w:ascii="Arial" w:hAnsi="Arial" w:cs="Arial"/>
              </w:rPr>
              <w:t xml:space="preserve">FD will be taught rotary </w:t>
            </w:r>
            <w:proofErr w:type="gramStart"/>
            <w:r w:rsidRPr="009A589B">
              <w:rPr>
                <w:rFonts w:ascii="Arial" w:hAnsi="Arial" w:cs="Arial"/>
              </w:rPr>
              <w:t>endo,</w:t>
            </w:r>
            <w:proofErr w:type="gramEnd"/>
            <w:r w:rsidRPr="009A589B">
              <w:rPr>
                <w:rFonts w:ascii="Arial" w:hAnsi="Arial" w:cs="Arial"/>
              </w:rPr>
              <w:t xml:space="preserve"> this will enable them to gain more experience in this skill</w:t>
            </w:r>
          </w:p>
        </w:tc>
      </w:tr>
      <w:tr w:rsidR="009A589B" w14:paraId="204E6836" w14:textId="77777777" w:rsidTr="009A589B">
        <w:tc>
          <w:tcPr>
            <w:tcW w:w="3094" w:type="dxa"/>
          </w:tcPr>
          <w:p w14:paraId="68B30ED5" w14:textId="2CAC7820" w:rsidR="009A589B" w:rsidRDefault="009A589B" w:rsidP="009A589B">
            <w:pPr>
              <w:rPr>
                <w:rFonts w:ascii="Arial" w:hAnsi="Arial" w:cs="Arial"/>
              </w:rPr>
            </w:pPr>
            <w:r w:rsidRPr="009A589B">
              <w:rPr>
                <w:rFonts w:ascii="Arial" w:hAnsi="Arial" w:cs="Arial"/>
              </w:rPr>
              <w:t>Rectangular collimation and beam aiming devices</w:t>
            </w:r>
          </w:p>
        </w:tc>
        <w:tc>
          <w:tcPr>
            <w:tcW w:w="1246" w:type="dxa"/>
          </w:tcPr>
          <w:p w14:paraId="384CEEA0" w14:textId="6F892110" w:rsidR="009A589B" w:rsidRDefault="009A589B" w:rsidP="009A5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0" w:type="dxa"/>
          </w:tcPr>
          <w:p w14:paraId="7A6B4384" w14:textId="77777777" w:rsidR="009A589B" w:rsidRDefault="009A589B" w:rsidP="009A589B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000A2587" w14:textId="0CB9B4AF" w:rsidR="009A589B" w:rsidRDefault="009A589B" w:rsidP="009A589B">
            <w:pPr>
              <w:rPr>
                <w:rFonts w:ascii="Arial" w:hAnsi="Arial" w:cs="Arial"/>
              </w:rPr>
            </w:pPr>
            <w:r w:rsidRPr="009A589B">
              <w:rPr>
                <w:rFonts w:ascii="Arial" w:hAnsi="Arial" w:cs="Arial"/>
              </w:rPr>
              <w:t>Reduces patient radiation dose</w:t>
            </w:r>
          </w:p>
        </w:tc>
      </w:tr>
      <w:tr w:rsidR="009A589B" w14:paraId="2E234EEF" w14:textId="77777777" w:rsidTr="009A589B">
        <w:tc>
          <w:tcPr>
            <w:tcW w:w="3094" w:type="dxa"/>
          </w:tcPr>
          <w:p w14:paraId="58670421" w14:textId="0D67B364" w:rsidR="009A589B" w:rsidRDefault="009A589B" w:rsidP="009A5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Thermometer</w:t>
            </w:r>
          </w:p>
        </w:tc>
        <w:tc>
          <w:tcPr>
            <w:tcW w:w="1246" w:type="dxa"/>
          </w:tcPr>
          <w:p w14:paraId="03164A9F" w14:textId="5E59CDCE" w:rsidR="009A589B" w:rsidRDefault="009A589B" w:rsidP="009A5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0" w:type="dxa"/>
          </w:tcPr>
          <w:p w14:paraId="09396711" w14:textId="77777777" w:rsidR="009A589B" w:rsidRDefault="009A589B" w:rsidP="009A589B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7A33BE95" w14:textId="5AF78FD7" w:rsidR="009A589B" w:rsidRDefault="009A589B" w:rsidP="009A589B">
            <w:pPr>
              <w:rPr>
                <w:rFonts w:ascii="Arial" w:hAnsi="Arial" w:cs="Arial"/>
              </w:rPr>
            </w:pPr>
            <w:r w:rsidRPr="009A589B">
              <w:rPr>
                <w:rFonts w:ascii="Arial" w:hAnsi="Arial" w:cs="Arial"/>
              </w:rPr>
              <w:t>To check for Pyrexia when issuing antimicrobial prescriptions.</w:t>
            </w:r>
          </w:p>
        </w:tc>
      </w:tr>
      <w:tr w:rsidR="009A589B" w14:paraId="31AAF5DA" w14:textId="77777777" w:rsidTr="009A589B">
        <w:tc>
          <w:tcPr>
            <w:tcW w:w="3094" w:type="dxa"/>
          </w:tcPr>
          <w:p w14:paraId="43930629" w14:textId="349D26A4" w:rsidR="009A589B" w:rsidRDefault="009A589B" w:rsidP="009A589B">
            <w:pPr>
              <w:rPr>
                <w:rFonts w:ascii="Arial" w:hAnsi="Arial" w:cs="Arial"/>
              </w:rPr>
            </w:pPr>
            <w:r w:rsidRPr="009A589B">
              <w:rPr>
                <w:rFonts w:ascii="Arial" w:hAnsi="Arial" w:cs="Arial"/>
              </w:rPr>
              <w:t>Practices should provide their FD with the facility to take part in online teaching sessions, this should include adequate internet, a web</w:t>
            </w:r>
            <w:r>
              <w:rPr>
                <w:rFonts w:ascii="Arial" w:hAnsi="Arial" w:cs="Arial"/>
              </w:rPr>
              <w:t xml:space="preserve"> camera and microphone/speakers to enable engagement</w:t>
            </w:r>
          </w:p>
        </w:tc>
        <w:tc>
          <w:tcPr>
            <w:tcW w:w="1246" w:type="dxa"/>
          </w:tcPr>
          <w:p w14:paraId="7A6024DD" w14:textId="0BE03667" w:rsidR="009A589B" w:rsidRDefault="009A589B" w:rsidP="009A5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0" w:type="dxa"/>
          </w:tcPr>
          <w:p w14:paraId="5573278C" w14:textId="77777777" w:rsidR="009A589B" w:rsidRDefault="009A589B" w:rsidP="009A589B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3DC10A0A" w14:textId="49C8EDF2" w:rsidR="009A589B" w:rsidRDefault="009A589B" w:rsidP="009A5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online teaching</w:t>
            </w:r>
          </w:p>
        </w:tc>
      </w:tr>
    </w:tbl>
    <w:p w14:paraId="1879B1CF" w14:textId="77777777" w:rsidR="00A109A1" w:rsidRDefault="00A109A1" w:rsidP="00A109A1">
      <w:pPr>
        <w:rPr>
          <w:rFonts w:ascii="Arial" w:hAnsi="Arial" w:cs="Arial"/>
        </w:rPr>
      </w:pPr>
    </w:p>
    <w:p w14:paraId="5B29461D" w14:textId="516D4DC1" w:rsidR="009A589B" w:rsidRPr="00A109A1" w:rsidRDefault="009A589B" w:rsidP="00A109A1">
      <w:pPr>
        <w:rPr>
          <w:rFonts w:ascii="Arial" w:hAnsi="Arial" w:cs="Arial"/>
        </w:rPr>
      </w:pPr>
      <w:r w:rsidRPr="009A589B">
        <w:rPr>
          <w:rFonts w:ascii="Arial" w:hAnsi="Arial" w:cs="Arial"/>
        </w:rPr>
        <w:t>Some Educational Supervisors (ES) in the past have set aside a small budget for the FD so that they can purchase materials and equipment which they have experience with or would like to try; this is to be recommended and encourage since it not only affords the FD an opportunity to research new materials and gain experience but also offers a route into tutorials based around practice expenses.</w:t>
      </w:r>
    </w:p>
    <w:sectPr w:rsidR="009A589B" w:rsidRPr="00A109A1" w:rsidSect="009A589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87B0" w14:textId="77777777" w:rsidR="009A589B" w:rsidRDefault="009A589B" w:rsidP="009A589B">
      <w:pPr>
        <w:spacing w:after="0" w:line="240" w:lineRule="auto"/>
      </w:pPr>
      <w:r>
        <w:separator/>
      </w:r>
    </w:p>
  </w:endnote>
  <w:endnote w:type="continuationSeparator" w:id="0">
    <w:p w14:paraId="65D91064" w14:textId="77777777" w:rsidR="009A589B" w:rsidRDefault="009A589B" w:rsidP="009A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27984" w14:textId="77777777" w:rsidR="009A589B" w:rsidRDefault="009A589B" w:rsidP="009A589B">
      <w:pPr>
        <w:spacing w:after="0" w:line="240" w:lineRule="auto"/>
      </w:pPr>
      <w:r>
        <w:separator/>
      </w:r>
    </w:p>
  </w:footnote>
  <w:footnote w:type="continuationSeparator" w:id="0">
    <w:p w14:paraId="0EDE3C8E" w14:textId="77777777" w:rsidR="009A589B" w:rsidRDefault="009A589B" w:rsidP="009A5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A1"/>
    <w:rsid w:val="001730E7"/>
    <w:rsid w:val="00823E03"/>
    <w:rsid w:val="0082511F"/>
    <w:rsid w:val="00894D37"/>
    <w:rsid w:val="009A589B"/>
    <w:rsid w:val="00A1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A3BA"/>
  <w15:chartTrackingRefBased/>
  <w15:docId w15:val="{B1D8A649-1BFE-4147-9503-CFEDE8EB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9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A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89B"/>
  </w:style>
  <w:style w:type="paragraph" w:styleId="Footer">
    <w:name w:val="footer"/>
    <w:basedOn w:val="Normal"/>
    <w:link w:val="FooterChar"/>
    <w:uiPriority w:val="99"/>
    <w:unhideWhenUsed/>
    <w:rsid w:val="009A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GLEW, Hannah (NHS ENGLAND)</dc:creator>
  <cp:keywords/>
  <dc:description/>
  <cp:lastModifiedBy>GLEW, Hannah (NHS ENGLAND)</cp:lastModifiedBy>
  <cp:revision>1</cp:revision>
  <dcterms:created xsi:type="dcterms:W3CDTF">2025-07-03T12:34:00Z</dcterms:created>
  <dcterms:modified xsi:type="dcterms:W3CDTF">2025-07-03T13:02:00Z</dcterms:modified>
</cp:coreProperties>
</file>