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7EA5D" w14:textId="6D85098F" w:rsidR="008D66C2" w:rsidRPr="008D66C2" w:rsidRDefault="008D66C2" w:rsidP="008D66C2">
      <w:pPr>
        <w:jc w:val="center"/>
        <w:rPr>
          <w:b/>
          <w:color w:val="A00054"/>
          <w:sz w:val="24"/>
          <w:szCs w:val="24"/>
        </w:rPr>
      </w:pPr>
      <w:r w:rsidRPr="001E0958">
        <w:rPr>
          <w:b/>
          <w:color w:val="A00054"/>
          <w:sz w:val="32"/>
          <w:szCs w:val="24"/>
        </w:rPr>
        <w:t>School of General Practice Enhanced Train</w:t>
      </w:r>
      <w:r>
        <w:rPr>
          <w:b/>
          <w:color w:val="A00054"/>
          <w:sz w:val="32"/>
          <w:szCs w:val="24"/>
        </w:rPr>
        <w:t>ing</w:t>
      </w:r>
      <w:r w:rsidRPr="001E0958">
        <w:rPr>
          <w:b/>
          <w:color w:val="A00054"/>
          <w:sz w:val="32"/>
          <w:szCs w:val="24"/>
        </w:rPr>
        <w:t xml:space="preserve"> Grant</w:t>
      </w:r>
    </w:p>
    <w:p w14:paraId="40734D6E" w14:textId="5105D735" w:rsidR="008D66C2" w:rsidRPr="008D66C2" w:rsidRDefault="008D66C2" w:rsidP="008D66C2">
      <w:pPr>
        <w:spacing w:after="120" w:line="240" w:lineRule="auto"/>
        <w:jc w:val="both"/>
      </w:pPr>
      <w:r w:rsidRPr="008D66C2">
        <w:t xml:space="preserve">The provision of an </w:t>
      </w:r>
      <w:r w:rsidR="00CB5451">
        <w:t>E</w:t>
      </w:r>
      <w:r w:rsidRPr="008D66C2">
        <w:t xml:space="preserve">nhanced </w:t>
      </w:r>
      <w:r w:rsidR="00CB5451">
        <w:t>T</w:t>
      </w:r>
      <w:r w:rsidRPr="008D66C2">
        <w:t xml:space="preserve">raining </w:t>
      </w:r>
      <w:r w:rsidR="00CB5451">
        <w:t>G</w:t>
      </w:r>
      <w:r w:rsidRPr="008D66C2">
        <w:t>rant is an exceptional recognition of the additional workload that practices take on with certain trainees. It is not felt that simply being in an extension to training or having a trainee with exam failure would qualify a practice for additional financial support with an enhanced grant.</w:t>
      </w:r>
    </w:p>
    <w:p w14:paraId="226E5D7D" w14:textId="77777777" w:rsidR="008D66C2" w:rsidRPr="008D66C2" w:rsidRDefault="008D66C2" w:rsidP="008D66C2">
      <w:pPr>
        <w:spacing w:after="120" w:line="240" w:lineRule="auto"/>
        <w:jc w:val="both"/>
      </w:pPr>
      <w:r w:rsidRPr="008D66C2">
        <w:t>LTFT at 50-60% will not routinely be eligible as this already attracts a 100% training grant for 50—60% trainee hours.</w:t>
      </w:r>
    </w:p>
    <w:p w14:paraId="7F0546CB" w14:textId="77777777" w:rsidR="008D66C2" w:rsidRDefault="008D66C2" w:rsidP="008D66C2">
      <w:pPr>
        <w:spacing w:after="120" w:line="240" w:lineRule="auto"/>
        <w:jc w:val="both"/>
      </w:pPr>
      <w:r w:rsidRPr="008D66C2">
        <w:rPr>
          <w:b/>
          <w:bCs/>
          <w:color w:val="FF0000"/>
        </w:rPr>
        <w:t>Please Note:</w:t>
      </w:r>
      <w:r w:rsidRPr="008D66C2">
        <w:t xml:space="preserve">  TPD, Trainers and schemes need to be aware of the need for a full ESR, which may fall mid-point of the training year. </w:t>
      </w:r>
      <w:proofErr w:type="spellStart"/>
      <w:r w:rsidRPr="008D66C2">
        <w:t>iESR</w:t>
      </w:r>
      <w:proofErr w:type="spellEnd"/>
      <w:r w:rsidRPr="008D66C2">
        <w:t xml:space="preserve"> would not be appropriate.</w:t>
      </w:r>
    </w:p>
    <w:p w14:paraId="407BAD31" w14:textId="77777777" w:rsidR="00CB5451" w:rsidRPr="00CB5451" w:rsidRDefault="00CB5451" w:rsidP="008D66C2">
      <w:pPr>
        <w:spacing w:after="120" w:line="240" w:lineRule="auto"/>
        <w:jc w:val="both"/>
        <w:rPr>
          <w:sz w:val="8"/>
          <w:szCs w:val="8"/>
        </w:rPr>
      </w:pPr>
    </w:p>
    <w:p w14:paraId="48FC7CD3" w14:textId="0C27A678" w:rsidR="008D66C2" w:rsidRPr="00272C81" w:rsidRDefault="00CB5451" w:rsidP="00272C81">
      <w:pPr>
        <w:spacing w:after="120" w:line="240" w:lineRule="auto"/>
        <w:jc w:val="center"/>
        <w:rPr>
          <w:sz w:val="24"/>
          <w:szCs w:val="24"/>
        </w:rPr>
      </w:pPr>
      <w:r w:rsidRPr="00CB5451">
        <w:rPr>
          <w:sz w:val="24"/>
          <w:szCs w:val="24"/>
        </w:rPr>
        <w:t xml:space="preserve">The link to the online Enhanced Training Grant form is available </w:t>
      </w:r>
      <w:hyperlink r:id="rId6" w:history="1">
        <w:r w:rsidRPr="00CB5451">
          <w:rPr>
            <w:rStyle w:val="Hyperlink"/>
            <w:b/>
            <w:bCs/>
            <w:sz w:val="24"/>
            <w:szCs w:val="24"/>
          </w:rPr>
          <w:t>here</w:t>
        </w:r>
      </w:hyperlink>
    </w:p>
    <w:p w14:paraId="4844514F" w14:textId="6C2AB220" w:rsidR="008D66C2" w:rsidRDefault="00272C81" w:rsidP="008D66C2">
      <w:pPr>
        <w:spacing w:after="120" w:line="240" w:lineRule="auto"/>
      </w:pPr>
      <w:r>
        <w:rPr>
          <w:noProof/>
        </w:rPr>
        <w:drawing>
          <wp:inline distT="0" distB="0" distL="0" distR="0" wp14:anchorId="1D2018E7" wp14:editId="4330D79C">
            <wp:extent cx="6840220" cy="7700645"/>
            <wp:effectExtent l="0" t="0" r="0" b="0"/>
            <wp:docPr id="3" name="Picture 3" descr="A picture containing text, screenshot, font, parall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creenshot, font, parall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70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6C2" w:rsidSect="00A8024C">
      <w:footerReference w:type="default" r:id="rId8"/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9B7D8" w14:textId="77777777" w:rsidR="00A8024C" w:rsidRDefault="00A8024C" w:rsidP="00CB5451">
      <w:pPr>
        <w:spacing w:after="0" w:line="240" w:lineRule="auto"/>
      </w:pPr>
      <w:r>
        <w:separator/>
      </w:r>
    </w:p>
  </w:endnote>
  <w:endnote w:type="continuationSeparator" w:id="0">
    <w:p w14:paraId="6C755CDC" w14:textId="77777777" w:rsidR="00A8024C" w:rsidRDefault="00A8024C" w:rsidP="00CB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B62BA" w14:textId="0B2514ED" w:rsidR="00CB5451" w:rsidRPr="00CB5451" w:rsidRDefault="00CB5451" w:rsidP="00CB5451">
    <w:pPr>
      <w:pStyle w:val="Footer"/>
      <w:jc w:val="right"/>
      <w:rPr>
        <w:sz w:val="16"/>
        <w:szCs w:val="16"/>
      </w:rPr>
    </w:pPr>
    <w:r w:rsidRPr="00CB5451">
      <w:rPr>
        <w:sz w:val="16"/>
        <w:szCs w:val="16"/>
      </w:rPr>
      <w:t>Enhanced Training Grant.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EC90F" w14:textId="77777777" w:rsidR="00A8024C" w:rsidRDefault="00A8024C" w:rsidP="00CB5451">
      <w:pPr>
        <w:spacing w:after="0" w:line="240" w:lineRule="auto"/>
      </w:pPr>
      <w:r>
        <w:separator/>
      </w:r>
    </w:p>
  </w:footnote>
  <w:footnote w:type="continuationSeparator" w:id="0">
    <w:p w14:paraId="25FA019B" w14:textId="77777777" w:rsidR="00A8024C" w:rsidRDefault="00A8024C" w:rsidP="00CB5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C2"/>
    <w:rsid w:val="001A3040"/>
    <w:rsid w:val="00272C81"/>
    <w:rsid w:val="006025FC"/>
    <w:rsid w:val="007A2564"/>
    <w:rsid w:val="008C6AE0"/>
    <w:rsid w:val="008D66C2"/>
    <w:rsid w:val="008E48DE"/>
    <w:rsid w:val="00A8024C"/>
    <w:rsid w:val="00B12D1B"/>
    <w:rsid w:val="00C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A7E1"/>
  <w15:chartTrackingRefBased/>
  <w15:docId w15:val="{F6DA7C47-8752-4B42-A878-364D0953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4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4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51"/>
  </w:style>
  <w:style w:type="paragraph" w:styleId="Footer">
    <w:name w:val="footer"/>
    <w:basedOn w:val="Normal"/>
    <w:link w:val="FooterChar"/>
    <w:uiPriority w:val="99"/>
    <w:unhideWhenUsed/>
    <w:rsid w:val="00CB5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e/FMJBTQx95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Pamphilon</dc:creator>
  <cp:keywords/>
  <dc:description/>
  <cp:lastModifiedBy>SORBY, Leanne (NHS ENGLAND - T1510)</cp:lastModifiedBy>
  <cp:revision>2</cp:revision>
  <dcterms:created xsi:type="dcterms:W3CDTF">2024-04-25T08:00:00Z</dcterms:created>
  <dcterms:modified xsi:type="dcterms:W3CDTF">2024-04-25T08:00:00Z</dcterms:modified>
</cp:coreProperties>
</file>