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B24490" w14:textId="77777777" w:rsidR="00ED6D28" w:rsidRDefault="073675AC">
      <w:pPr>
        <w:spacing w:after="0" w:line="239" w:lineRule="auto"/>
        <w:ind w:left="0" w:right="0" w:firstLine="0"/>
        <w:jc w:val="left"/>
      </w:pPr>
      <w:bookmarkStart w:id="0" w:name="_GoBack"/>
      <w:bookmarkEnd w:id="0"/>
      <w:r w:rsidRPr="073675AC">
        <w:rPr>
          <w:b/>
          <w:bCs/>
          <w:color w:val="A00054"/>
          <w:sz w:val="40"/>
          <w:szCs w:val="40"/>
        </w:rPr>
        <w:t xml:space="preserve">GP Trainer Standards in Health Education England working across Yorkshire and the Humber  </w:t>
      </w:r>
    </w:p>
    <w:p w14:paraId="29D6B04F" w14:textId="77777777" w:rsidR="00ED6D28" w:rsidRDefault="00757C8B">
      <w:pPr>
        <w:spacing w:after="0" w:line="259" w:lineRule="auto"/>
        <w:ind w:left="0" w:right="449" w:firstLine="0"/>
        <w:jc w:val="center"/>
      </w:pPr>
      <w:r>
        <w:rPr>
          <w:b/>
          <w:sz w:val="32"/>
        </w:rPr>
        <w:t xml:space="preserve"> </w:t>
      </w:r>
    </w:p>
    <w:p w14:paraId="0A6959E7" w14:textId="6A86C0D8" w:rsidR="00ED6D28" w:rsidRDefault="073675AC" w:rsidP="073675AC">
      <w:pPr>
        <w:spacing w:after="0" w:line="259" w:lineRule="auto"/>
        <w:ind w:left="-5" w:right="525"/>
      </w:pPr>
      <w:r>
        <w:t xml:space="preserve">The national standards and outcomes for postgraduate medical education and training have been aligned following the merger of PMETB with the GMC. </w:t>
      </w:r>
      <w:r w:rsidRPr="073675AC">
        <w:rPr>
          <w:color w:val="262626" w:themeColor="text1" w:themeTint="D9"/>
        </w:rPr>
        <w:t xml:space="preserve"> </w:t>
      </w:r>
    </w:p>
    <w:p w14:paraId="528F8460" w14:textId="49068D5F" w:rsidR="00ED6D28" w:rsidRDefault="073675AC">
      <w:pPr>
        <w:ind w:left="-5" w:right="525"/>
      </w:pPr>
      <w:r>
        <w:t xml:space="preserve">The standards have been designed for the use of those involved in the quality control, management and assurance of GP specialty training. We hope that our GP trainers within Health Education England working across Yorkshire and the Humber appreciate that we use standards for quality management but that we also strive to recognise and value our individually brilliant and diverse group of educators for the things that they do which a set of standards cannot do justice to. </w:t>
      </w:r>
    </w:p>
    <w:p w14:paraId="100C5B58" w14:textId="77777777" w:rsidR="00ED6D28" w:rsidRDefault="00757C8B">
      <w:pPr>
        <w:spacing w:after="16" w:line="259" w:lineRule="auto"/>
        <w:ind w:left="0" w:right="0" w:firstLine="0"/>
        <w:jc w:val="left"/>
      </w:pPr>
      <w:r>
        <w:rPr>
          <w:b/>
        </w:rPr>
        <w:t xml:space="preserve"> </w:t>
      </w:r>
    </w:p>
    <w:p w14:paraId="663639D7" w14:textId="77777777" w:rsidR="00ED6D28" w:rsidRDefault="073675AC">
      <w:pPr>
        <w:spacing w:after="83"/>
        <w:ind w:left="-5" w:right="0"/>
        <w:jc w:val="left"/>
      </w:pPr>
      <w:r w:rsidRPr="073675AC">
        <w:rPr>
          <w:b/>
          <w:bCs/>
          <w:color w:val="003893"/>
          <w:sz w:val="28"/>
          <w:szCs w:val="28"/>
        </w:rPr>
        <w:t xml:space="preserve">Describing our standards for GP educators </w:t>
      </w:r>
    </w:p>
    <w:p w14:paraId="6EB47C70" w14:textId="77777777" w:rsidR="00ED6D28" w:rsidRDefault="073675AC">
      <w:pPr>
        <w:ind w:left="-5" w:right="525"/>
      </w:pPr>
      <w:r>
        <w:t xml:space="preserve">“We do not seek to constrain or to over-structure, rather to point the way, shepherd and support. With the reduction of training hours and the increasingly dispersed nature of supervision, the variable training standards inherent in any approach that is uninformed, unstructured and unregulated may not be enough to guarantee the delivery of competent clinicians, nor indeed reassure the public as to the safety of their care. The solution has to be a balance, between accountability - through the appropriation of standards and curricula by the centre - and the autonomy of creative and often brilliant clinical teachers at the coal face.” </w:t>
      </w:r>
    </w:p>
    <w:p w14:paraId="12F40E89" w14:textId="77777777" w:rsidR="00ED6D28" w:rsidRDefault="00757C8B">
      <w:pPr>
        <w:spacing w:after="16" w:line="259" w:lineRule="auto"/>
        <w:ind w:left="0" w:right="0" w:firstLine="0"/>
        <w:jc w:val="left"/>
      </w:pPr>
      <w:r>
        <w:rPr>
          <w:i/>
        </w:rPr>
        <w:t xml:space="preserve"> </w:t>
      </w:r>
    </w:p>
    <w:p w14:paraId="7B6E7D0F" w14:textId="5F569173" w:rsidR="00ED6D28" w:rsidRDefault="2C117544">
      <w:pPr>
        <w:ind w:left="-5" w:right="525"/>
      </w:pPr>
      <w:r>
        <w:t xml:space="preserve">Extract from ‘A Framework for the Professional Development of Postgraduate Medical Supervisors -Guidance for deaneries, commissioners and providers of postgraduate medical education’. November 2010 </w:t>
      </w:r>
    </w:p>
    <w:p w14:paraId="2BAC6FC9" w14:textId="77777777" w:rsidR="00ED6D28" w:rsidRDefault="00757C8B">
      <w:pPr>
        <w:spacing w:after="0" w:line="259" w:lineRule="auto"/>
        <w:ind w:left="0" w:right="0" w:firstLine="0"/>
        <w:jc w:val="left"/>
      </w:pPr>
      <w:r>
        <w:rPr>
          <w:i/>
          <w:sz w:val="28"/>
        </w:rPr>
        <w:t xml:space="preserve"> </w:t>
      </w:r>
    </w:p>
    <w:p w14:paraId="156A6281" w14:textId="26701965" w:rsidR="00ED6D28" w:rsidRDefault="2C117544" w:rsidP="2C117544">
      <w:pPr>
        <w:spacing w:after="111" w:line="259" w:lineRule="auto"/>
        <w:ind w:left="-5" w:right="0"/>
        <w:jc w:val="left"/>
      </w:pPr>
      <w:r w:rsidRPr="2C117544">
        <w:rPr>
          <w:b/>
          <w:bCs/>
          <w:color w:val="003893"/>
          <w:sz w:val="28"/>
          <w:szCs w:val="28"/>
        </w:rPr>
        <w:t xml:space="preserve">Which standards are important to know about as medical educators/GP trainers?  </w:t>
      </w:r>
    </w:p>
    <w:p w14:paraId="6CC639A2" w14:textId="75DA618C" w:rsidR="00ED6D28" w:rsidRDefault="073675AC" w:rsidP="073675AC">
      <w:pPr>
        <w:numPr>
          <w:ilvl w:val="0"/>
          <w:numId w:val="2"/>
        </w:numPr>
        <w:spacing w:after="0" w:line="259" w:lineRule="auto"/>
        <w:ind w:right="525" w:hanging="360"/>
      </w:pPr>
      <w:r w:rsidRPr="073675AC">
        <w:rPr>
          <w:b/>
          <w:bCs/>
        </w:rPr>
        <w:t xml:space="preserve">GMC STANDARDS </w:t>
      </w:r>
      <w:r>
        <w:t xml:space="preserve">(Generic standards for specialty, including GP training) </w:t>
      </w:r>
    </w:p>
    <w:p w14:paraId="65C89149" w14:textId="3870D584" w:rsidR="00ED6D28" w:rsidRDefault="00ED6D28" w:rsidP="073675AC">
      <w:pPr>
        <w:spacing w:after="0" w:line="259" w:lineRule="auto"/>
        <w:ind w:left="354" w:right="525" w:hanging="360"/>
      </w:pPr>
    </w:p>
    <w:p w14:paraId="777FBE30" w14:textId="16576DC6" w:rsidR="00ED6D28" w:rsidRDefault="003775E5" w:rsidP="073675AC">
      <w:pPr>
        <w:spacing w:after="0" w:line="259" w:lineRule="auto"/>
        <w:ind w:left="354" w:right="525" w:hanging="360"/>
        <w:jc w:val="center"/>
      </w:pPr>
      <w:hyperlink r:id="rId7">
        <w:r w:rsidR="2C117544" w:rsidRPr="2C117544">
          <w:rPr>
            <w:rStyle w:val="Hyperlink"/>
          </w:rPr>
          <w:t>Promoting Excellence: Standards for Medical education and Training</w:t>
        </w:r>
      </w:hyperlink>
    </w:p>
    <w:p w14:paraId="74918D07" w14:textId="37627933" w:rsidR="00ED6D28" w:rsidRDefault="00ED6D28" w:rsidP="2C117544">
      <w:pPr>
        <w:spacing w:after="0" w:line="259" w:lineRule="auto"/>
        <w:ind w:left="354" w:right="525" w:hanging="360"/>
        <w:jc w:val="center"/>
      </w:pPr>
    </w:p>
    <w:p w14:paraId="3F30BCD8" w14:textId="791AF005" w:rsidR="00ED6D28" w:rsidRDefault="2C117544" w:rsidP="2C117544">
      <w:pPr>
        <w:pStyle w:val="ListParagraph"/>
        <w:numPr>
          <w:ilvl w:val="0"/>
          <w:numId w:val="1"/>
        </w:numPr>
        <w:spacing w:after="0" w:line="259" w:lineRule="auto"/>
        <w:ind w:right="525"/>
        <w:jc w:val="left"/>
        <w:rPr>
          <w:rFonts w:asciiTheme="minorHAnsi" w:eastAsiaTheme="minorEastAsia" w:hAnsiTheme="minorHAnsi" w:cstheme="minorBidi"/>
          <w:color w:val="000000" w:themeColor="text1"/>
          <w:szCs w:val="24"/>
        </w:rPr>
      </w:pPr>
      <w:r w:rsidRPr="2C117544">
        <w:rPr>
          <w:b/>
          <w:bCs/>
        </w:rPr>
        <w:t>RCGP STANDARDS</w:t>
      </w:r>
    </w:p>
    <w:p w14:paraId="1C5E8A20" w14:textId="040C8154" w:rsidR="00ED6D28" w:rsidRDefault="00ED6D28" w:rsidP="2C117544">
      <w:pPr>
        <w:spacing w:after="0" w:line="259" w:lineRule="auto"/>
        <w:ind w:left="360" w:right="525"/>
        <w:jc w:val="left"/>
        <w:rPr>
          <w:b/>
          <w:bCs/>
        </w:rPr>
      </w:pPr>
    </w:p>
    <w:p w14:paraId="20876B09" w14:textId="32255658" w:rsidR="00ED6D28" w:rsidRDefault="2C117544" w:rsidP="2C117544">
      <w:pPr>
        <w:spacing w:after="0" w:line="259" w:lineRule="auto"/>
        <w:ind w:right="525"/>
        <w:jc w:val="left"/>
        <w:rPr>
          <w:b/>
          <w:bCs/>
        </w:rPr>
      </w:pPr>
      <w:r w:rsidRPr="2C117544">
        <w:rPr>
          <w:b/>
          <w:bCs/>
        </w:rPr>
        <w:t xml:space="preserve">                       </w:t>
      </w:r>
      <w:hyperlink r:id="rId8">
        <w:r w:rsidRPr="2C117544">
          <w:rPr>
            <w:rStyle w:val="Hyperlink"/>
          </w:rPr>
          <w:t>Guidance for Deaneries on Standards for GP Training</w:t>
        </w:r>
      </w:hyperlink>
    </w:p>
    <w:p w14:paraId="5FDA264A" w14:textId="728170ED" w:rsidR="2C117544" w:rsidRDefault="2C117544" w:rsidP="2C117544">
      <w:pPr>
        <w:spacing w:after="0" w:line="259" w:lineRule="auto"/>
        <w:ind w:right="525"/>
        <w:jc w:val="left"/>
      </w:pPr>
    </w:p>
    <w:p w14:paraId="23DD831B" w14:textId="22AB6E87" w:rsidR="00ED6D28" w:rsidRDefault="75A1A409" w:rsidP="75A1A409">
      <w:pPr>
        <w:spacing w:after="0" w:line="259" w:lineRule="auto"/>
        <w:ind w:left="718" w:right="525"/>
      </w:pPr>
      <w:r w:rsidRPr="75A1A409">
        <w:rPr>
          <w:color w:val="0000FF"/>
        </w:rPr>
        <w:t xml:space="preserve"> </w:t>
      </w:r>
    </w:p>
    <w:p w14:paraId="6D9ABB49" w14:textId="77777777" w:rsidR="00ED6D28" w:rsidRDefault="073675AC">
      <w:pPr>
        <w:spacing w:after="12"/>
        <w:ind w:left="-5" w:right="0"/>
        <w:jc w:val="left"/>
      </w:pPr>
      <w:r w:rsidRPr="073675AC">
        <w:rPr>
          <w:b/>
          <w:bCs/>
          <w:color w:val="003893"/>
          <w:sz w:val="28"/>
          <w:szCs w:val="28"/>
        </w:rPr>
        <w:t xml:space="preserve">ACADEMY OF MEDICAL EDUCATORS STANDARDS </w:t>
      </w:r>
    </w:p>
    <w:p w14:paraId="28CE8CB7" w14:textId="77777777" w:rsidR="00ED6D28" w:rsidRDefault="00757C8B">
      <w:pPr>
        <w:spacing w:after="0" w:line="259" w:lineRule="auto"/>
        <w:ind w:left="708" w:right="0" w:firstLine="0"/>
        <w:jc w:val="left"/>
      </w:pPr>
      <w:r>
        <w:t xml:space="preserve"> </w:t>
      </w:r>
    </w:p>
    <w:p w14:paraId="42B968C3" w14:textId="4B57E0B4" w:rsidR="00ED6D28" w:rsidRDefault="073675AC">
      <w:pPr>
        <w:ind w:left="-5" w:right="525"/>
      </w:pPr>
      <w:r>
        <w:t xml:space="preserve">In demonstrating that we can meet the GMC standards in HEE YH, we will also map the domains originally set out by the </w:t>
      </w:r>
      <w:hyperlink r:id="rId9">
        <w:r w:rsidRPr="073675AC">
          <w:rPr>
            <w:rStyle w:val="Hyperlink"/>
            <w:color w:val="262626" w:themeColor="text1" w:themeTint="D9"/>
          </w:rPr>
          <w:t>Academy of Medical Educators</w:t>
        </w:r>
      </w:hyperlink>
      <w:r w:rsidRPr="073675AC">
        <w:rPr>
          <w:color w:val="262626" w:themeColor="text1" w:themeTint="D9"/>
        </w:rPr>
        <w:t xml:space="preserve">  </w:t>
      </w:r>
    </w:p>
    <w:p w14:paraId="1895D3B7" w14:textId="77777777" w:rsidR="00ED6D28" w:rsidRDefault="00757C8B">
      <w:pPr>
        <w:spacing w:after="0" w:line="259" w:lineRule="auto"/>
        <w:ind w:left="708" w:right="0" w:firstLine="0"/>
        <w:jc w:val="left"/>
      </w:pPr>
      <w:r>
        <w:rPr>
          <w:color w:val="262626"/>
        </w:rPr>
        <w:t xml:space="preserve"> </w:t>
      </w:r>
    </w:p>
    <w:p w14:paraId="7ECACA70" w14:textId="77777777" w:rsidR="00ED6D28" w:rsidRDefault="75A1A409">
      <w:pPr>
        <w:spacing w:after="0" w:line="259" w:lineRule="auto"/>
        <w:ind w:left="0" w:right="0" w:firstLine="0"/>
        <w:jc w:val="left"/>
      </w:pPr>
      <w:r w:rsidRPr="75A1A409">
        <w:rPr>
          <w:color w:val="000000" w:themeColor="text1"/>
        </w:rPr>
        <w:t xml:space="preserve">A link to their full document is here </w:t>
      </w:r>
    </w:p>
    <w:p w14:paraId="0DD9472A" w14:textId="2740F777" w:rsidR="75A1A409" w:rsidRDefault="003775E5" w:rsidP="75A1A409">
      <w:pPr>
        <w:spacing w:after="0" w:line="259" w:lineRule="auto"/>
        <w:ind w:left="0" w:right="0" w:firstLine="0"/>
        <w:jc w:val="left"/>
        <w:rPr>
          <w:color w:val="000000" w:themeColor="text1"/>
        </w:rPr>
      </w:pPr>
      <w:hyperlink r:id="rId10">
        <w:proofErr w:type="spellStart"/>
        <w:r w:rsidR="75A1A409" w:rsidRPr="75A1A409">
          <w:rPr>
            <w:rStyle w:val="Hyperlink"/>
            <w:color w:val="000000" w:themeColor="text1"/>
          </w:rPr>
          <w:t>AoME</w:t>
        </w:r>
        <w:proofErr w:type="spellEnd"/>
        <w:r w:rsidR="75A1A409" w:rsidRPr="75A1A409">
          <w:rPr>
            <w:rStyle w:val="Hyperlink"/>
            <w:color w:val="000000" w:themeColor="text1"/>
          </w:rPr>
          <w:t xml:space="preserve"> Professional Standards for medical, dental and veterinary educators</w:t>
        </w:r>
      </w:hyperlink>
    </w:p>
    <w:p w14:paraId="0CC8F703" w14:textId="069A52F6" w:rsidR="00ED6D28" w:rsidRDefault="2C117544" w:rsidP="073675AC">
      <w:pPr>
        <w:spacing w:after="0" w:line="240" w:lineRule="auto"/>
        <w:ind w:right="0"/>
        <w:jc w:val="center"/>
      </w:pPr>
      <w:r>
        <w:t>"</w:t>
      </w:r>
      <w:hyperlink r:id="rId11"/>
      <w:hyperlink r:id="rId12"/>
    </w:p>
    <w:p w14:paraId="7FDE0BDC" w14:textId="77777777" w:rsidR="00ED6D28" w:rsidRDefault="00757C8B">
      <w:pPr>
        <w:spacing w:after="0" w:line="259" w:lineRule="auto"/>
        <w:ind w:left="708" w:right="0" w:firstLine="0"/>
        <w:jc w:val="left"/>
      </w:pPr>
      <w:r>
        <w:rPr>
          <w:color w:val="262626"/>
        </w:rPr>
        <w:t xml:space="preserve"> </w:t>
      </w:r>
    </w:p>
    <w:p w14:paraId="265CAA79" w14:textId="5582A075" w:rsidR="00ED6D28" w:rsidRDefault="073675AC">
      <w:pPr>
        <w:ind w:left="-5" w:right="525"/>
      </w:pPr>
      <w:r>
        <w:lastRenderedPageBreak/>
        <w:t xml:space="preserve">Page 10 onwards describes a useful framework and is worth reading in preparation for your trainer approval / re-approval as well as for appraisal and revalidation. </w:t>
      </w:r>
    </w:p>
    <w:p w14:paraId="6C1031F9" w14:textId="77777777" w:rsidR="00ED6D28" w:rsidRDefault="073675AC">
      <w:pPr>
        <w:spacing w:after="0" w:line="259" w:lineRule="auto"/>
        <w:ind w:left="0" w:right="0" w:firstLine="0"/>
        <w:jc w:val="left"/>
      </w:pPr>
      <w:r>
        <w:t xml:space="preserve"> </w:t>
      </w:r>
    </w:p>
    <w:p w14:paraId="17699DFA" w14:textId="77777777" w:rsidR="00ED6D28" w:rsidRDefault="073675AC">
      <w:pPr>
        <w:spacing w:after="12"/>
        <w:ind w:left="-5" w:right="0"/>
        <w:jc w:val="left"/>
      </w:pPr>
      <w:r w:rsidRPr="073675AC">
        <w:rPr>
          <w:b/>
          <w:bCs/>
          <w:color w:val="003893"/>
          <w:sz w:val="28"/>
          <w:szCs w:val="28"/>
        </w:rPr>
        <w:t xml:space="preserve">Will all these standards keep on changing? </w:t>
      </w:r>
    </w:p>
    <w:p w14:paraId="752553BD" w14:textId="77777777" w:rsidR="00ED6D28" w:rsidRDefault="00757C8B">
      <w:pPr>
        <w:spacing w:after="0" w:line="259" w:lineRule="auto"/>
        <w:ind w:left="0" w:right="0" w:firstLine="0"/>
        <w:jc w:val="left"/>
      </w:pPr>
      <w:r>
        <w:rPr>
          <w:b/>
        </w:rPr>
        <w:t xml:space="preserve"> </w:t>
      </w:r>
    </w:p>
    <w:p w14:paraId="1907C844" w14:textId="77777777" w:rsidR="00ED6D28" w:rsidRDefault="073675AC">
      <w:pPr>
        <w:spacing w:after="0" w:line="240" w:lineRule="auto"/>
        <w:ind w:left="-5" w:right="544"/>
        <w:jc w:val="left"/>
      </w:pPr>
      <w:r>
        <w:t>No, not quite so much now, but things do evolve, and where evidence exists that a particular practice or facility improves the quality of GP specialty training, the GMC will also consider the case for developing a new standard which would become mandatory in due course. Whenever this happens postgraduate deaneries and LEPs would be given sufficient time to implement the necessary changes to achieve the new standard. Individual GP schools can also add to the mandatory standards if they feel a particular area needs more emphasis.</w:t>
      </w:r>
      <w:r w:rsidRPr="073675AC">
        <w:rPr>
          <w:b/>
          <w:bCs/>
        </w:rPr>
        <w:t xml:space="preserve"> </w:t>
      </w:r>
    </w:p>
    <w:p w14:paraId="56051E44" w14:textId="77777777" w:rsidR="00ED6D28" w:rsidRDefault="00757C8B">
      <w:pPr>
        <w:spacing w:after="0" w:line="259" w:lineRule="auto"/>
        <w:ind w:left="708" w:right="0" w:firstLine="0"/>
        <w:jc w:val="left"/>
      </w:pPr>
      <w:r>
        <w:t xml:space="preserve"> </w:t>
      </w:r>
    </w:p>
    <w:p w14:paraId="554EF5F4" w14:textId="77777777" w:rsidR="00ED6D28" w:rsidRDefault="00757C8B">
      <w:pPr>
        <w:spacing w:after="0" w:line="259" w:lineRule="auto"/>
        <w:ind w:left="708" w:right="0" w:firstLine="0"/>
        <w:jc w:val="left"/>
      </w:pPr>
      <w:r>
        <w:t xml:space="preserve"> </w:t>
      </w:r>
    </w:p>
    <w:p w14:paraId="7E235B9D" w14:textId="77777777" w:rsidR="00ED6D28" w:rsidRDefault="00757C8B">
      <w:pPr>
        <w:spacing w:after="0" w:line="259" w:lineRule="auto"/>
        <w:ind w:left="708" w:right="0" w:firstLine="0"/>
        <w:jc w:val="left"/>
      </w:pPr>
      <w:r>
        <w:t xml:space="preserve"> </w:t>
      </w:r>
    </w:p>
    <w:p w14:paraId="66AC4DF1" w14:textId="77777777" w:rsidR="00ED6D28" w:rsidRDefault="00757C8B">
      <w:pPr>
        <w:spacing w:after="0" w:line="259" w:lineRule="auto"/>
        <w:ind w:left="708" w:right="0" w:firstLine="0"/>
        <w:jc w:val="left"/>
      </w:pPr>
      <w:r>
        <w:t xml:space="preserve"> </w:t>
      </w:r>
    </w:p>
    <w:sectPr w:rsidR="00ED6D28">
      <w:headerReference w:type="even" r:id="rId13"/>
      <w:headerReference w:type="default" r:id="rId14"/>
      <w:footerReference w:type="even" r:id="rId15"/>
      <w:footerReference w:type="default" r:id="rId16"/>
      <w:headerReference w:type="first" r:id="rId17"/>
      <w:footerReference w:type="first" r:id="rId18"/>
      <w:pgSz w:w="11899" w:h="16841"/>
      <w:pgMar w:top="1696" w:right="303" w:bottom="1592" w:left="708" w:header="143"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6467FC" w14:textId="77777777" w:rsidR="003775E5" w:rsidRDefault="003775E5">
      <w:pPr>
        <w:spacing w:after="0" w:line="240" w:lineRule="auto"/>
      </w:pPr>
      <w:r>
        <w:separator/>
      </w:r>
    </w:p>
  </w:endnote>
  <w:endnote w:type="continuationSeparator" w:id="0">
    <w:p w14:paraId="17622A06" w14:textId="77777777" w:rsidR="003775E5" w:rsidRDefault="00377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3F7ED" w14:textId="77777777" w:rsidR="00ED6D28" w:rsidRDefault="00757C8B">
    <w:pPr>
      <w:spacing w:after="0" w:line="259" w:lineRule="auto"/>
      <w:ind w:left="0" w:right="539" w:firstLine="0"/>
      <w:jc w:val="right"/>
    </w:pPr>
    <w:r>
      <w:fldChar w:fldCharType="begin"/>
    </w:r>
    <w:r>
      <w:instrText xml:space="preserve"> PAGE   \* MERGEFORMAT </w:instrText>
    </w:r>
    <w:r>
      <w:fldChar w:fldCharType="separate"/>
    </w:r>
    <w:r>
      <w:t>1</w:t>
    </w:r>
    <w:r>
      <w:fldChar w:fldCharType="end"/>
    </w:r>
    <w:r>
      <w:t xml:space="preserve"> </w:t>
    </w:r>
  </w:p>
  <w:p w14:paraId="455E230F" w14:textId="77777777" w:rsidR="00ED6D28" w:rsidRDefault="00757C8B">
    <w:pPr>
      <w:spacing w:after="0" w:line="259" w:lineRule="auto"/>
      <w:ind w:left="0" w:right="0" w:firstLine="0"/>
      <w:jc w:val="left"/>
    </w:pPr>
    <w:r>
      <w:rPr>
        <w:rFonts w:ascii="Cambria" w:eastAsia="Cambria" w:hAnsi="Cambria" w:cs="Cambr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C9AAE" w14:textId="77777777" w:rsidR="00ED6D28" w:rsidRDefault="00757C8B">
    <w:pPr>
      <w:spacing w:after="0" w:line="259" w:lineRule="auto"/>
      <w:ind w:left="0" w:right="539" w:firstLine="0"/>
      <w:jc w:val="right"/>
    </w:pPr>
    <w:r>
      <w:fldChar w:fldCharType="begin"/>
    </w:r>
    <w:r>
      <w:instrText xml:space="preserve"> PAGE   \* MERGEFORMAT </w:instrText>
    </w:r>
    <w:r>
      <w:fldChar w:fldCharType="separate"/>
    </w:r>
    <w:r w:rsidR="00ED7E76">
      <w:rPr>
        <w:noProof/>
      </w:rPr>
      <w:t>1</w:t>
    </w:r>
    <w:r>
      <w:fldChar w:fldCharType="end"/>
    </w:r>
    <w:r>
      <w:t xml:space="preserve"> </w:t>
    </w:r>
  </w:p>
  <w:p w14:paraId="131F8F3A" w14:textId="77777777" w:rsidR="00ED6D28" w:rsidRDefault="00757C8B">
    <w:pPr>
      <w:spacing w:after="0" w:line="259" w:lineRule="auto"/>
      <w:ind w:left="0" w:right="0" w:firstLine="0"/>
      <w:jc w:val="left"/>
    </w:pPr>
    <w:r>
      <w:rPr>
        <w:rFonts w:ascii="Cambria" w:eastAsia="Cambria" w:hAnsi="Cambria" w:cs="Cambri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B35CA" w14:textId="77777777" w:rsidR="00ED6D28" w:rsidRDefault="00757C8B">
    <w:pPr>
      <w:spacing w:after="0" w:line="259" w:lineRule="auto"/>
      <w:ind w:left="0" w:right="539" w:firstLine="0"/>
      <w:jc w:val="right"/>
    </w:pPr>
    <w:r>
      <w:fldChar w:fldCharType="begin"/>
    </w:r>
    <w:r>
      <w:instrText xml:space="preserve"> PAGE   \* MERGEFORMAT </w:instrText>
    </w:r>
    <w:r>
      <w:fldChar w:fldCharType="separate"/>
    </w:r>
    <w:r>
      <w:t>1</w:t>
    </w:r>
    <w:r>
      <w:fldChar w:fldCharType="end"/>
    </w:r>
    <w:r>
      <w:t xml:space="preserve"> </w:t>
    </w:r>
  </w:p>
  <w:p w14:paraId="0A8DB014" w14:textId="77777777" w:rsidR="00ED6D28" w:rsidRDefault="00757C8B">
    <w:pPr>
      <w:spacing w:after="0" w:line="259" w:lineRule="auto"/>
      <w:ind w:left="0" w:right="0" w:firstLine="0"/>
      <w:jc w:val="left"/>
    </w:pPr>
    <w:r>
      <w:rPr>
        <w:rFonts w:ascii="Cambria" w:eastAsia="Cambria" w:hAnsi="Cambria" w:cs="Cambr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665076" w14:textId="77777777" w:rsidR="003775E5" w:rsidRDefault="003775E5">
      <w:pPr>
        <w:spacing w:after="0" w:line="240" w:lineRule="auto"/>
      </w:pPr>
      <w:r>
        <w:separator/>
      </w:r>
    </w:p>
  </w:footnote>
  <w:footnote w:type="continuationSeparator" w:id="0">
    <w:p w14:paraId="47C64C9A" w14:textId="77777777" w:rsidR="003775E5" w:rsidRDefault="003775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45E7F" w14:textId="77777777" w:rsidR="00ED6D28" w:rsidRDefault="00757C8B">
    <w:pPr>
      <w:spacing w:after="0" w:line="259" w:lineRule="auto"/>
      <w:ind w:left="2314" w:right="0" w:firstLine="0"/>
      <w:jc w:val="left"/>
    </w:pPr>
    <w:r>
      <w:rPr>
        <w:noProof/>
      </w:rPr>
      <w:drawing>
        <wp:anchor distT="0" distB="0" distL="114300" distR="114300" simplePos="0" relativeHeight="251658240" behindDoc="0" locked="0" layoutInCell="1" allowOverlap="0" wp14:anchorId="23FE0B25" wp14:editId="07777777">
          <wp:simplePos x="0" y="0"/>
          <wp:positionH relativeFrom="page">
            <wp:posOffset>4995545</wp:posOffset>
          </wp:positionH>
          <wp:positionV relativeFrom="page">
            <wp:posOffset>90805</wp:posOffset>
          </wp:positionV>
          <wp:extent cx="2396490" cy="84328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396490" cy="843280"/>
                  </a:xfrm>
                  <a:prstGeom prst="rect">
                    <a:avLst/>
                  </a:prstGeom>
                </pic:spPr>
              </pic:pic>
            </a:graphicData>
          </a:graphic>
        </wp:anchor>
      </w:drawing>
    </w:r>
    <w:r>
      <w:rPr>
        <w:rFonts w:ascii="Cambria" w:eastAsia="Cambria" w:hAnsi="Cambria" w:cs="Cambria"/>
      </w:rPr>
      <w:t xml:space="preserve"> </w:t>
    </w:r>
    <w:r>
      <w:rPr>
        <w:rFonts w:ascii="Cambria" w:eastAsia="Cambria" w:hAnsi="Cambria" w:cs="Cambria"/>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D7C55" w14:textId="77777777" w:rsidR="00ED6D28" w:rsidRDefault="00757C8B">
    <w:pPr>
      <w:spacing w:after="0" w:line="259" w:lineRule="auto"/>
      <w:ind w:left="2314" w:right="0" w:firstLine="0"/>
      <w:jc w:val="left"/>
    </w:pPr>
    <w:r>
      <w:rPr>
        <w:noProof/>
      </w:rPr>
      <w:drawing>
        <wp:anchor distT="0" distB="0" distL="114300" distR="114300" simplePos="0" relativeHeight="251659264" behindDoc="0" locked="0" layoutInCell="1" allowOverlap="0" wp14:anchorId="5322B7C7" wp14:editId="07777777">
          <wp:simplePos x="0" y="0"/>
          <wp:positionH relativeFrom="page">
            <wp:posOffset>4995545</wp:posOffset>
          </wp:positionH>
          <wp:positionV relativeFrom="page">
            <wp:posOffset>90805</wp:posOffset>
          </wp:positionV>
          <wp:extent cx="2396490" cy="84328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396490" cy="843280"/>
                  </a:xfrm>
                  <a:prstGeom prst="rect">
                    <a:avLst/>
                  </a:prstGeom>
                </pic:spPr>
              </pic:pic>
            </a:graphicData>
          </a:graphic>
        </wp:anchor>
      </w:drawing>
    </w:r>
    <w:r>
      <w:rPr>
        <w:rFonts w:ascii="Cambria" w:eastAsia="Cambria" w:hAnsi="Cambria" w:cs="Cambria"/>
      </w:rPr>
      <w:t xml:space="preserve"> </w:t>
    </w:r>
    <w:r>
      <w:rPr>
        <w:rFonts w:ascii="Cambria" w:eastAsia="Cambria" w:hAnsi="Cambria" w:cs="Cambria"/>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611AF" w14:textId="77777777" w:rsidR="00ED6D28" w:rsidRDefault="00757C8B">
    <w:pPr>
      <w:spacing w:after="0" w:line="259" w:lineRule="auto"/>
      <w:ind w:left="2314" w:right="0" w:firstLine="0"/>
      <w:jc w:val="left"/>
    </w:pPr>
    <w:r>
      <w:rPr>
        <w:noProof/>
      </w:rPr>
      <w:drawing>
        <wp:anchor distT="0" distB="0" distL="114300" distR="114300" simplePos="0" relativeHeight="251660288" behindDoc="0" locked="0" layoutInCell="1" allowOverlap="0" wp14:anchorId="691C2A01" wp14:editId="07777777">
          <wp:simplePos x="0" y="0"/>
          <wp:positionH relativeFrom="page">
            <wp:posOffset>4995545</wp:posOffset>
          </wp:positionH>
          <wp:positionV relativeFrom="page">
            <wp:posOffset>90805</wp:posOffset>
          </wp:positionV>
          <wp:extent cx="2396490" cy="84328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396490" cy="843280"/>
                  </a:xfrm>
                  <a:prstGeom prst="rect">
                    <a:avLst/>
                  </a:prstGeom>
                </pic:spPr>
              </pic:pic>
            </a:graphicData>
          </a:graphic>
        </wp:anchor>
      </w:drawing>
    </w:r>
    <w:r>
      <w:rPr>
        <w:rFonts w:ascii="Cambria" w:eastAsia="Cambria" w:hAnsi="Cambria" w:cs="Cambria"/>
      </w:rPr>
      <w:t xml:space="preserve"> </w:t>
    </w:r>
    <w:r>
      <w:rPr>
        <w:rFonts w:ascii="Cambria" w:eastAsia="Cambria" w:hAnsi="Cambria" w:cs="Cambria"/>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7A7F3F"/>
    <w:multiLevelType w:val="hybridMultilevel"/>
    <w:tmpl w:val="ECF8A97A"/>
    <w:lvl w:ilvl="0" w:tplc="54EAFDCA">
      <w:start w:val="1"/>
      <w:numFmt w:val="bullet"/>
      <w:lvlText w:val="•"/>
      <w:lvlJc w:val="left"/>
      <w:pPr>
        <w:ind w:left="7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362B18">
      <w:start w:val="1"/>
      <w:numFmt w:val="decimal"/>
      <w:lvlText w:val="%2)"/>
      <w:lvlJc w:val="left"/>
      <w:pPr>
        <w:ind w:left="12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068A3EA">
      <w:start w:val="1"/>
      <w:numFmt w:val="lowerRoman"/>
      <w:lvlText w:val="%3"/>
      <w:lvlJc w:val="left"/>
      <w:pPr>
        <w:ind w:left="20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D34B048">
      <w:start w:val="1"/>
      <w:numFmt w:val="decimal"/>
      <w:lvlText w:val="%4"/>
      <w:lvlJc w:val="left"/>
      <w:pPr>
        <w:ind w:left="27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BA0CC0">
      <w:start w:val="1"/>
      <w:numFmt w:val="lowerLetter"/>
      <w:lvlText w:val="%5"/>
      <w:lvlJc w:val="left"/>
      <w:pPr>
        <w:ind w:left="35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6003588">
      <w:start w:val="1"/>
      <w:numFmt w:val="lowerRoman"/>
      <w:lvlText w:val="%6"/>
      <w:lvlJc w:val="left"/>
      <w:pPr>
        <w:ind w:left="42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B1A0D72">
      <w:start w:val="1"/>
      <w:numFmt w:val="decimal"/>
      <w:lvlText w:val="%7"/>
      <w:lvlJc w:val="left"/>
      <w:pPr>
        <w:ind w:left="49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330AFA8">
      <w:start w:val="1"/>
      <w:numFmt w:val="lowerLetter"/>
      <w:lvlText w:val="%8"/>
      <w:lvlJc w:val="left"/>
      <w:pPr>
        <w:ind w:left="56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D502FC4">
      <w:start w:val="1"/>
      <w:numFmt w:val="lowerRoman"/>
      <w:lvlText w:val="%9"/>
      <w:lvlJc w:val="left"/>
      <w:pPr>
        <w:ind w:left="63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9FF1985"/>
    <w:multiLevelType w:val="hybridMultilevel"/>
    <w:tmpl w:val="5C3E39C4"/>
    <w:lvl w:ilvl="0" w:tplc="A5786C48">
      <w:start w:val="1"/>
      <w:numFmt w:val="bullet"/>
      <w:lvlText w:val=""/>
      <w:lvlJc w:val="left"/>
      <w:pPr>
        <w:ind w:left="720" w:hanging="360"/>
      </w:pPr>
      <w:rPr>
        <w:rFonts w:ascii="Symbol" w:hAnsi="Symbol" w:hint="default"/>
      </w:rPr>
    </w:lvl>
    <w:lvl w:ilvl="1" w:tplc="A160545E">
      <w:start w:val="1"/>
      <w:numFmt w:val="bullet"/>
      <w:lvlText w:val="o"/>
      <w:lvlJc w:val="left"/>
      <w:pPr>
        <w:ind w:left="1440" w:hanging="360"/>
      </w:pPr>
      <w:rPr>
        <w:rFonts w:ascii="Courier New" w:hAnsi="Courier New" w:hint="default"/>
      </w:rPr>
    </w:lvl>
    <w:lvl w:ilvl="2" w:tplc="EF147B1C">
      <w:start w:val="1"/>
      <w:numFmt w:val="bullet"/>
      <w:lvlText w:val=""/>
      <w:lvlJc w:val="left"/>
      <w:pPr>
        <w:ind w:left="2160" w:hanging="360"/>
      </w:pPr>
      <w:rPr>
        <w:rFonts w:ascii="Wingdings" w:hAnsi="Wingdings" w:hint="default"/>
      </w:rPr>
    </w:lvl>
    <w:lvl w:ilvl="3" w:tplc="5120A7C8">
      <w:start w:val="1"/>
      <w:numFmt w:val="bullet"/>
      <w:lvlText w:val=""/>
      <w:lvlJc w:val="left"/>
      <w:pPr>
        <w:ind w:left="2880" w:hanging="360"/>
      </w:pPr>
      <w:rPr>
        <w:rFonts w:ascii="Symbol" w:hAnsi="Symbol" w:hint="default"/>
      </w:rPr>
    </w:lvl>
    <w:lvl w:ilvl="4" w:tplc="40185AEA">
      <w:start w:val="1"/>
      <w:numFmt w:val="bullet"/>
      <w:lvlText w:val="o"/>
      <w:lvlJc w:val="left"/>
      <w:pPr>
        <w:ind w:left="3600" w:hanging="360"/>
      </w:pPr>
      <w:rPr>
        <w:rFonts w:ascii="Courier New" w:hAnsi="Courier New" w:hint="default"/>
      </w:rPr>
    </w:lvl>
    <w:lvl w:ilvl="5" w:tplc="396E81A4">
      <w:start w:val="1"/>
      <w:numFmt w:val="bullet"/>
      <w:lvlText w:val=""/>
      <w:lvlJc w:val="left"/>
      <w:pPr>
        <w:ind w:left="4320" w:hanging="360"/>
      </w:pPr>
      <w:rPr>
        <w:rFonts w:ascii="Wingdings" w:hAnsi="Wingdings" w:hint="default"/>
      </w:rPr>
    </w:lvl>
    <w:lvl w:ilvl="6" w:tplc="11BCB540">
      <w:start w:val="1"/>
      <w:numFmt w:val="bullet"/>
      <w:lvlText w:val=""/>
      <w:lvlJc w:val="left"/>
      <w:pPr>
        <w:ind w:left="5040" w:hanging="360"/>
      </w:pPr>
      <w:rPr>
        <w:rFonts w:ascii="Symbol" w:hAnsi="Symbol" w:hint="default"/>
      </w:rPr>
    </w:lvl>
    <w:lvl w:ilvl="7" w:tplc="10943C62">
      <w:start w:val="1"/>
      <w:numFmt w:val="bullet"/>
      <w:lvlText w:val="o"/>
      <w:lvlJc w:val="left"/>
      <w:pPr>
        <w:ind w:left="5760" w:hanging="360"/>
      </w:pPr>
      <w:rPr>
        <w:rFonts w:ascii="Courier New" w:hAnsi="Courier New" w:hint="default"/>
      </w:rPr>
    </w:lvl>
    <w:lvl w:ilvl="8" w:tplc="EF7AC582">
      <w:start w:val="1"/>
      <w:numFmt w:val="bullet"/>
      <w:lvlText w:val=""/>
      <w:lvlJc w:val="left"/>
      <w:pPr>
        <w:ind w:left="6480" w:hanging="360"/>
      </w:pPr>
      <w:rPr>
        <w:rFonts w:ascii="Wingdings" w:hAnsi="Wingdings" w:hint="default"/>
      </w:rPr>
    </w:lvl>
  </w:abstractNum>
  <w:abstractNum w:abstractNumId="2" w15:restartNumberingAfterBreak="0">
    <w:nsid w:val="5D0B48E7"/>
    <w:multiLevelType w:val="hybridMultilevel"/>
    <w:tmpl w:val="1BA87D3A"/>
    <w:lvl w:ilvl="0" w:tplc="A40AC34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789D74">
      <w:start w:val="1"/>
      <w:numFmt w:val="decimal"/>
      <w:lvlText w:val="%2."/>
      <w:lvlJc w:val="left"/>
      <w:pPr>
        <w:ind w:left="12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F3247DA">
      <w:start w:val="1"/>
      <w:numFmt w:val="lowerRoman"/>
      <w:lvlText w:val="%3"/>
      <w:lvlJc w:val="left"/>
      <w:pPr>
        <w:ind w:left="20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6D600B8">
      <w:start w:val="1"/>
      <w:numFmt w:val="decimal"/>
      <w:lvlText w:val="%4"/>
      <w:lvlJc w:val="left"/>
      <w:pPr>
        <w:ind w:left="2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3944356">
      <w:start w:val="1"/>
      <w:numFmt w:val="lowerLetter"/>
      <w:lvlText w:val="%5"/>
      <w:lvlJc w:val="left"/>
      <w:pPr>
        <w:ind w:left="3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ACAD264">
      <w:start w:val="1"/>
      <w:numFmt w:val="lowerRoman"/>
      <w:lvlText w:val="%6"/>
      <w:lvlJc w:val="left"/>
      <w:pPr>
        <w:ind w:left="4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FD30CF32">
      <w:start w:val="1"/>
      <w:numFmt w:val="decimal"/>
      <w:lvlText w:val="%7"/>
      <w:lvlJc w:val="left"/>
      <w:pPr>
        <w:ind w:left="4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3E524E4E">
      <w:start w:val="1"/>
      <w:numFmt w:val="lowerLetter"/>
      <w:lvlText w:val="%8"/>
      <w:lvlJc w:val="left"/>
      <w:pPr>
        <w:ind w:left="5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99E0A064">
      <w:start w:val="1"/>
      <w:numFmt w:val="lowerRoman"/>
      <w:lvlText w:val="%9"/>
      <w:lvlJc w:val="left"/>
      <w:pPr>
        <w:ind w:left="6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D28"/>
    <w:rsid w:val="001A5974"/>
    <w:rsid w:val="003775E5"/>
    <w:rsid w:val="00757C8B"/>
    <w:rsid w:val="00ED6D28"/>
    <w:rsid w:val="00ED7E76"/>
    <w:rsid w:val="073675AC"/>
    <w:rsid w:val="2C117544"/>
    <w:rsid w:val="75A1A4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00A80"/>
  <w15:docId w15:val="{EE8E7E95-4326-4659-ABB9-6C914E146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1" w:line="249" w:lineRule="auto"/>
      <w:ind w:left="10" w:right="535" w:hanging="10"/>
      <w:jc w:val="both"/>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rcgp.org.uk/-/media/Files/GP-training-and-exams/Information-for-deaneries-trainers-supervisors/Guidance-for-deaneries-on-standards-for-GP-training-Jan-2014.ashx?la=en"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gmc-uk.org/education/standards.asp" TargetMode="External"/><Relationship Id="rId12" Type="http://schemas.openxmlformats.org/officeDocument/2006/relationships/hyperlink" Target="http://www.medicaleducators.org/index.cfm/linkservid/C575BBE4-F39B-4267-31A42C8B64F0D3DE/showMeta/0/"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edicaleducators.org/write/MediaManager/AOME_Professional_Standards_2014.pdf%22&#64991;HYPERLINK%20%22http://www.medicaleducators.org/index.cfm/linkservid/C575BBE4-F39B-4267-31A42C8B64F0D3DE/showMeta/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medicaleducators.org/write/MediaManager/AOME_Professional_Standards_2014.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edicaleducators.org/Home"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3195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peat</dc:creator>
  <cp:keywords/>
  <cp:lastModifiedBy>Sarah Walker</cp:lastModifiedBy>
  <cp:revision>2</cp:revision>
  <dcterms:created xsi:type="dcterms:W3CDTF">2018-08-01T08:34:00Z</dcterms:created>
  <dcterms:modified xsi:type="dcterms:W3CDTF">2018-08-01T08:34:00Z</dcterms:modified>
</cp:coreProperties>
</file>