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FC2587" w:rsidRPr="00800C77" w:rsidRDefault="00800C77" w:rsidP="00DC5BF3">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7">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DC5BF3" w:rsidRDefault="000643A2" w:rsidP="000643A2">
            <w:pPr>
              <w:pStyle w:val="Introductionparagraphblue"/>
              <w:rPr>
                <w:rFonts w:cs="Arial"/>
                <w:sz w:val="22"/>
                <w:szCs w:val="22"/>
              </w:rPr>
            </w:pPr>
            <w:r w:rsidRPr="00DC5BF3">
              <w:rPr>
                <w:rFonts w:cs="Arial"/>
                <w:sz w:val="22"/>
                <w:szCs w:val="22"/>
              </w:rPr>
              <w:t>Grade</w:t>
            </w:r>
          </w:p>
        </w:tc>
        <w:tc>
          <w:tcPr>
            <w:tcW w:w="6208" w:type="dxa"/>
          </w:tcPr>
          <w:p w:rsidR="000643A2" w:rsidRPr="00DC5BF3" w:rsidRDefault="00354859" w:rsidP="00E94EE5">
            <w:pPr>
              <w:rPr>
                <w:rFonts w:cs="Arial"/>
                <w:sz w:val="22"/>
                <w:szCs w:val="22"/>
              </w:rPr>
            </w:pPr>
            <w:r w:rsidRPr="00DC5BF3">
              <w:rPr>
                <w:rFonts w:cs="Arial"/>
                <w:sz w:val="22"/>
                <w:szCs w:val="22"/>
              </w:rPr>
              <w:t>F</w:t>
            </w:r>
            <w:r w:rsidR="003C6902" w:rsidRPr="00DC5BF3">
              <w:rPr>
                <w:rFonts w:cs="Arial"/>
                <w:sz w:val="22"/>
                <w:szCs w:val="22"/>
              </w:rPr>
              <w:t>2</w:t>
            </w:r>
          </w:p>
        </w:tc>
      </w:tr>
      <w:tr w:rsidR="000643A2" w:rsidRPr="00800C77" w:rsidTr="00E41F41">
        <w:trPr>
          <w:trHeight w:val="144"/>
        </w:trPr>
        <w:tc>
          <w:tcPr>
            <w:tcW w:w="4566" w:type="dxa"/>
          </w:tcPr>
          <w:p w:rsidR="000643A2" w:rsidRPr="00DC5BF3" w:rsidRDefault="000643A2" w:rsidP="000643A2">
            <w:pPr>
              <w:pStyle w:val="Introductionparagraphblue"/>
              <w:rPr>
                <w:rFonts w:cs="Arial"/>
                <w:sz w:val="22"/>
                <w:szCs w:val="22"/>
              </w:rPr>
            </w:pPr>
            <w:r w:rsidRPr="00DC5BF3">
              <w:rPr>
                <w:rFonts w:cs="Arial"/>
                <w:sz w:val="22"/>
                <w:szCs w:val="22"/>
              </w:rPr>
              <w:t>Placement</w:t>
            </w:r>
          </w:p>
        </w:tc>
        <w:tc>
          <w:tcPr>
            <w:tcW w:w="6208" w:type="dxa"/>
          </w:tcPr>
          <w:p w:rsidR="000643A2" w:rsidRPr="00DC5BF3" w:rsidRDefault="00B10BB8" w:rsidP="000643A2">
            <w:pPr>
              <w:rPr>
                <w:rFonts w:cs="Arial"/>
                <w:sz w:val="22"/>
                <w:szCs w:val="22"/>
              </w:rPr>
            </w:pPr>
            <w:r w:rsidRPr="00DC5BF3">
              <w:rPr>
                <w:rFonts w:cs="Arial"/>
                <w:sz w:val="22"/>
                <w:szCs w:val="22"/>
              </w:rPr>
              <w:t>ICU/Anaesthetics</w:t>
            </w:r>
          </w:p>
        </w:tc>
      </w:tr>
      <w:tr w:rsidR="00B26D68" w:rsidRPr="00800C77" w:rsidTr="00E41F41">
        <w:trPr>
          <w:trHeight w:val="144"/>
        </w:trPr>
        <w:tc>
          <w:tcPr>
            <w:tcW w:w="4566" w:type="dxa"/>
          </w:tcPr>
          <w:p w:rsidR="00B26D68" w:rsidRPr="00DC5BF3" w:rsidRDefault="00B26D68" w:rsidP="00B26D68">
            <w:pPr>
              <w:pStyle w:val="Introductionparagraphblue"/>
              <w:rPr>
                <w:rFonts w:cs="Arial"/>
                <w:sz w:val="22"/>
                <w:szCs w:val="22"/>
              </w:rPr>
            </w:pPr>
            <w:r w:rsidRPr="00DC5BF3">
              <w:rPr>
                <w:rFonts w:cs="Arial"/>
                <w:sz w:val="22"/>
                <w:szCs w:val="22"/>
              </w:rPr>
              <w:t>Department</w:t>
            </w:r>
          </w:p>
        </w:tc>
        <w:tc>
          <w:tcPr>
            <w:tcW w:w="6208" w:type="dxa"/>
          </w:tcPr>
          <w:p w:rsidR="00B26D68" w:rsidRPr="00DC5BF3" w:rsidRDefault="00B26D68" w:rsidP="00B26D68">
            <w:pPr>
              <w:widowControl w:val="0"/>
              <w:rPr>
                <w:rFonts w:cs="Arial"/>
                <w:sz w:val="22"/>
                <w:szCs w:val="22"/>
              </w:rPr>
            </w:pPr>
            <w:r w:rsidRPr="00DC5BF3">
              <w:rPr>
                <w:rFonts w:cs="Arial"/>
                <w:sz w:val="22"/>
                <w:szCs w:val="22"/>
              </w:rPr>
              <w:t>The Critical Care team provides critical care to patients in the critical care units of Hull University Teaching Hospitals NHS Trust.</w:t>
            </w:r>
          </w:p>
          <w:p w:rsidR="00B26D68" w:rsidRPr="00DC5BF3" w:rsidRDefault="00B26D68" w:rsidP="00B26D68">
            <w:pPr>
              <w:widowControl w:val="0"/>
              <w:rPr>
                <w:rFonts w:cs="Arial"/>
                <w:sz w:val="22"/>
                <w:szCs w:val="22"/>
              </w:rPr>
            </w:pPr>
          </w:p>
          <w:p w:rsidR="00B26D68" w:rsidRPr="00DC5BF3" w:rsidRDefault="00B26D68" w:rsidP="00B26D68">
            <w:pPr>
              <w:widowControl w:val="0"/>
              <w:rPr>
                <w:rFonts w:cs="Arial"/>
                <w:sz w:val="22"/>
                <w:szCs w:val="22"/>
              </w:rPr>
            </w:pPr>
            <w:r w:rsidRPr="00DC5BF3">
              <w:rPr>
                <w:rFonts w:cs="Arial"/>
                <w:sz w:val="22"/>
                <w:szCs w:val="22"/>
              </w:rPr>
              <w:t>Whilst in this placement the F2 doctor will work in four areas on a rotational basis.</w:t>
            </w:r>
          </w:p>
          <w:p w:rsidR="00B26D68" w:rsidRPr="00DC5BF3" w:rsidRDefault="00B26D68" w:rsidP="00B26D68">
            <w:pPr>
              <w:widowControl w:val="0"/>
              <w:rPr>
                <w:rFonts w:cs="Arial"/>
                <w:sz w:val="22"/>
                <w:szCs w:val="22"/>
              </w:rPr>
            </w:pPr>
            <w:r w:rsidRPr="00DC5BF3">
              <w:rPr>
                <w:rFonts w:cs="Arial"/>
                <w:sz w:val="22"/>
                <w:szCs w:val="22"/>
              </w:rPr>
              <w:t>Critical Care, M</w:t>
            </w:r>
            <w:r w:rsidR="00DC5BF3" w:rsidRPr="00DC5BF3">
              <w:rPr>
                <w:rFonts w:cs="Arial"/>
                <w:sz w:val="22"/>
                <w:szCs w:val="22"/>
              </w:rPr>
              <w:t>ajor Trauma and Anaesthesia</w:t>
            </w:r>
            <w:r w:rsidRPr="00DC5BF3">
              <w:rPr>
                <w:rFonts w:cs="Arial"/>
                <w:sz w:val="22"/>
                <w:szCs w:val="22"/>
              </w:rPr>
              <w:t>.</w:t>
            </w:r>
          </w:p>
          <w:p w:rsidR="00B26D68" w:rsidRPr="00DC5BF3" w:rsidRDefault="00B26D68" w:rsidP="00B26D68">
            <w:pPr>
              <w:widowControl w:val="0"/>
              <w:rPr>
                <w:rFonts w:cs="Arial"/>
                <w:sz w:val="22"/>
                <w:szCs w:val="22"/>
              </w:rPr>
            </w:pPr>
          </w:p>
          <w:p w:rsidR="00B26D68" w:rsidRPr="00DC5BF3" w:rsidRDefault="00B26D68" w:rsidP="00B26D68">
            <w:pPr>
              <w:widowControl w:val="0"/>
              <w:rPr>
                <w:rFonts w:cs="Arial"/>
                <w:sz w:val="22"/>
                <w:szCs w:val="22"/>
              </w:rPr>
            </w:pPr>
            <w:r w:rsidRPr="00DC5BF3">
              <w:rPr>
                <w:rFonts w:cs="Arial"/>
                <w:sz w:val="22"/>
                <w:szCs w:val="22"/>
              </w:rPr>
              <w:t>Critical Care;</w:t>
            </w:r>
          </w:p>
          <w:p w:rsidR="00B26D68" w:rsidRPr="00DC5BF3" w:rsidRDefault="00B26D68" w:rsidP="00B26D68">
            <w:pPr>
              <w:widowControl w:val="0"/>
              <w:rPr>
                <w:rFonts w:cs="Arial"/>
                <w:sz w:val="22"/>
                <w:szCs w:val="22"/>
              </w:rPr>
            </w:pPr>
            <w:r w:rsidRPr="00DC5BF3">
              <w:rPr>
                <w:rFonts w:cs="Arial"/>
                <w:sz w:val="22"/>
                <w:szCs w:val="22"/>
              </w:rPr>
              <w:t>There are two general critical care units at Hull Royal Infirmary providing care to both surgical and medical patients.</w:t>
            </w:r>
          </w:p>
          <w:p w:rsidR="00B26D68" w:rsidRPr="00DC5BF3" w:rsidRDefault="00B26D68" w:rsidP="00B26D68">
            <w:pPr>
              <w:widowControl w:val="0"/>
              <w:rPr>
                <w:rFonts w:cs="Arial"/>
                <w:sz w:val="22"/>
                <w:szCs w:val="22"/>
              </w:rPr>
            </w:pPr>
            <w:r w:rsidRPr="00DC5BF3">
              <w:rPr>
                <w:rFonts w:cs="Arial"/>
                <w:sz w:val="22"/>
                <w:szCs w:val="22"/>
              </w:rPr>
              <w:t>The F2 doctor will be involved in all activities of the critical care team working as part of the team in a supernumerary role, the teams are organised on a unit basis and the F1 will be directly supervised by senior post foundation doctors and a consultant.</w:t>
            </w:r>
          </w:p>
          <w:p w:rsidR="00B26D68" w:rsidRPr="00DC5BF3" w:rsidRDefault="00B26D68" w:rsidP="00B26D68">
            <w:pPr>
              <w:widowControl w:val="0"/>
              <w:rPr>
                <w:rFonts w:cs="Arial"/>
                <w:sz w:val="22"/>
                <w:szCs w:val="22"/>
              </w:rPr>
            </w:pPr>
            <w:r w:rsidRPr="00DC5BF3">
              <w:rPr>
                <w:rFonts w:cs="Arial"/>
                <w:sz w:val="22"/>
                <w:szCs w:val="22"/>
              </w:rPr>
              <w:t>The F2 doctor may also get the opportunity to accompany the Outreach Team, reviewing acutely sick patients out in the hospital.</w:t>
            </w:r>
          </w:p>
          <w:p w:rsidR="00B26D68" w:rsidRPr="00DC5BF3" w:rsidRDefault="00B26D68" w:rsidP="00B26D68">
            <w:pPr>
              <w:widowControl w:val="0"/>
              <w:rPr>
                <w:rFonts w:cs="Arial"/>
                <w:sz w:val="22"/>
                <w:szCs w:val="22"/>
              </w:rPr>
            </w:pPr>
            <w:r w:rsidRPr="00DC5BF3">
              <w:rPr>
                <w:rFonts w:cs="Arial"/>
                <w:sz w:val="22"/>
                <w:szCs w:val="22"/>
              </w:rPr>
              <w:t>This will provide experience in the recognition and management of the deteriorating/critically ill patient, development of practical skills and a broad range of medical experience.</w:t>
            </w:r>
          </w:p>
          <w:p w:rsidR="00B26D68" w:rsidRPr="00DC5BF3" w:rsidRDefault="00B26D68" w:rsidP="00B26D68">
            <w:pPr>
              <w:widowControl w:val="0"/>
              <w:rPr>
                <w:rFonts w:cs="Arial"/>
                <w:sz w:val="22"/>
                <w:szCs w:val="22"/>
              </w:rPr>
            </w:pPr>
          </w:p>
          <w:p w:rsidR="00B26D68" w:rsidRPr="00DC5BF3" w:rsidRDefault="00B26D68" w:rsidP="00B26D68">
            <w:pPr>
              <w:widowControl w:val="0"/>
              <w:rPr>
                <w:rFonts w:cs="Arial"/>
                <w:sz w:val="22"/>
                <w:szCs w:val="22"/>
              </w:rPr>
            </w:pPr>
            <w:r w:rsidRPr="00DC5BF3">
              <w:rPr>
                <w:rFonts w:cs="Arial"/>
                <w:sz w:val="22"/>
                <w:szCs w:val="22"/>
              </w:rPr>
              <w:t>Anaesthesia;</w:t>
            </w:r>
          </w:p>
          <w:p w:rsidR="00B26D68" w:rsidRPr="00DC5BF3" w:rsidRDefault="00B26D68" w:rsidP="00B26D68">
            <w:pPr>
              <w:widowControl w:val="0"/>
              <w:rPr>
                <w:rFonts w:cs="Arial"/>
                <w:sz w:val="22"/>
                <w:szCs w:val="22"/>
              </w:rPr>
            </w:pPr>
            <w:r w:rsidRPr="00DC5BF3">
              <w:rPr>
                <w:rFonts w:cs="Arial"/>
                <w:sz w:val="22"/>
                <w:szCs w:val="22"/>
              </w:rPr>
              <w:t>This involves joining an anaesthetic consultant doing a theatre list, provides opportunities for airway skills, practical procedures and one to one teaching from a consultant anaesthetist.</w:t>
            </w:r>
          </w:p>
          <w:p w:rsidR="00B26D68" w:rsidRPr="00DC5BF3" w:rsidRDefault="00B26D68" w:rsidP="00B26D68">
            <w:pPr>
              <w:widowControl w:val="0"/>
              <w:rPr>
                <w:rFonts w:cs="Arial"/>
                <w:sz w:val="22"/>
                <w:szCs w:val="22"/>
              </w:rPr>
            </w:pPr>
          </w:p>
          <w:p w:rsidR="00B26D68" w:rsidRPr="00DC5BF3" w:rsidRDefault="00B26D68" w:rsidP="00B26D68">
            <w:pPr>
              <w:widowControl w:val="0"/>
              <w:rPr>
                <w:rFonts w:cs="Arial"/>
                <w:sz w:val="22"/>
                <w:szCs w:val="22"/>
              </w:rPr>
            </w:pPr>
            <w:r w:rsidRPr="00DC5BF3">
              <w:rPr>
                <w:rFonts w:cs="Arial"/>
                <w:sz w:val="22"/>
                <w:szCs w:val="22"/>
              </w:rPr>
              <w:t>Major Trauma;</w:t>
            </w:r>
          </w:p>
          <w:p w:rsidR="00B26D68" w:rsidRPr="00DC5BF3" w:rsidRDefault="00B26D68" w:rsidP="00B26D68">
            <w:pPr>
              <w:widowControl w:val="0"/>
              <w:rPr>
                <w:rFonts w:cs="Arial"/>
                <w:sz w:val="22"/>
                <w:szCs w:val="22"/>
              </w:rPr>
            </w:pPr>
            <w:r w:rsidRPr="00DC5BF3">
              <w:rPr>
                <w:rFonts w:cs="Arial"/>
                <w:sz w:val="22"/>
                <w:szCs w:val="22"/>
              </w:rPr>
              <w:t xml:space="preserve">Attend the daily major trauma MDT, daily review and secondary survey of patients on major trauma ward, attend </w:t>
            </w:r>
            <w:r w:rsidRPr="00DC5BF3">
              <w:rPr>
                <w:rFonts w:cs="Arial"/>
                <w:sz w:val="22"/>
                <w:szCs w:val="22"/>
              </w:rPr>
              <w:lastRenderedPageBreak/>
              <w:t>trauma calls on an educational basis and provide general junior doctor duties for major trauma patients, supervised by a Major Trauma consultant in the morning and the admitting specialities seniors in the afternoon.</w:t>
            </w:r>
          </w:p>
          <w:p w:rsidR="00B26D68" w:rsidRPr="00DC5BF3" w:rsidRDefault="00B26D68" w:rsidP="00B26D68">
            <w:pPr>
              <w:widowControl w:val="0"/>
              <w:rPr>
                <w:rFonts w:cs="Arial"/>
                <w:sz w:val="22"/>
                <w:szCs w:val="22"/>
              </w:rPr>
            </w:pPr>
            <w:r w:rsidRPr="00DC5BF3">
              <w:rPr>
                <w:rFonts w:cs="Arial"/>
                <w:sz w:val="22"/>
                <w:szCs w:val="22"/>
              </w:rPr>
              <w:t>This will provide experience of acute and follow-up management of major trauma.</w:t>
            </w:r>
          </w:p>
          <w:p w:rsidR="00DC5BF3" w:rsidRPr="00DC5BF3" w:rsidRDefault="00DC5BF3" w:rsidP="00B26D68">
            <w:pPr>
              <w:widowControl w:val="0"/>
              <w:rPr>
                <w:rFonts w:cs="Arial"/>
                <w:sz w:val="22"/>
                <w:szCs w:val="22"/>
              </w:rPr>
            </w:pPr>
          </w:p>
          <w:p w:rsidR="00B26D68" w:rsidRPr="00DC5BF3" w:rsidRDefault="00DC5BF3" w:rsidP="00DC5BF3">
            <w:pPr>
              <w:rPr>
                <w:rFonts w:cs="Arial"/>
                <w:sz w:val="22"/>
                <w:szCs w:val="22"/>
              </w:rPr>
            </w:pPr>
            <w:r w:rsidRPr="00DC5BF3">
              <w:rPr>
                <w:rFonts w:eastAsia="Times New Roman" w:cs="Arial"/>
                <w:color w:val="000000"/>
                <w:sz w:val="22"/>
                <w:szCs w:val="22"/>
                <w:shd w:val="clear" w:color="auto" w:fill="FFFFFF"/>
              </w:rPr>
              <w:t>F2</w:t>
            </w:r>
            <w:r w:rsidRPr="00DC5BF3">
              <w:rPr>
                <w:rFonts w:eastAsia="Times New Roman" w:cs="Arial"/>
                <w:color w:val="000000"/>
                <w:sz w:val="22"/>
                <w:szCs w:val="22"/>
                <w:shd w:val="clear" w:color="auto" w:fill="FFFFFF"/>
              </w:rPr>
              <w:t xml:space="preserve"> do 2 months ICU, 1 month MTC, 1 month anaesthetics. Their </w:t>
            </w:r>
            <w:r w:rsidRPr="00DC5BF3">
              <w:rPr>
                <w:rFonts w:eastAsia="Times New Roman" w:cs="Arial"/>
                <w:color w:val="000000"/>
                <w:sz w:val="22"/>
                <w:szCs w:val="22"/>
                <w:shd w:val="clear" w:color="auto" w:fill="FFFFFF"/>
              </w:rPr>
              <w:t>on call</w:t>
            </w:r>
            <w:r w:rsidRPr="00DC5BF3">
              <w:rPr>
                <w:rFonts w:eastAsia="Times New Roman" w:cs="Arial"/>
                <w:color w:val="000000"/>
                <w:sz w:val="22"/>
                <w:szCs w:val="22"/>
                <w:shd w:val="clear" w:color="auto" w:fill="FFFFFF"/>
              </w:rPr>
              <w:t xml:space="preserve"> commitment is weekend daytimes to major trauma and vascular surgery, 1 weekend in 4.</w:t>
            </w:r>
          </w:p>
          <w:p w:rsidR="00B26D68" w:rsidRPr="00DC5BF3" w:rsidRDefault="00B26D68" w:rsidP="00B26D68">
            <w:pPr>
              <w:widowControl w:val="0"/>
              <w:rPr>
                <w:rFonts w:cs="Arial"/>
                <w:sz w:val="22"/>
                <w:szCs w:val="22"/>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lastRenderedPageBreak/>
              <w:t>The type of work to expect and learning opportunities</w:t>
            </w:r>
          </w:p>
        </w:tc>
        <w:tc>
          <w:tcPr>
            <w:tcW w:w="6208" w:type="dxa"/>
          </w:tcPr>
          <w:p w:rsidR="00B26D68" w:rsidRDefault="00B26D68" w:rsidP="00B26D68">
            <w:pPr>
              <w:pStyle w:val="Default"/>
              <w:rPr>
                <w:sz w:val="22"/>
                <w:szCs w:val="22"/>
              </w:rPr>
            </w:pPr>
            <w:r>
              <w:rPr>
                <w:b/>
                <w:bCs/>
                <w:sz w:val="22"/>
                <w:szCs w:val="22"/>
              </w:rPr>
              <w:t xml:space="preserve">Responsibilities include: </w:t>
            </w:r>
          </w:p>
          <w:p w:rsidR="00B26D68" w:rsidRDefault="00B26D68" w:rsidP="00B26D68">
            <w:pPr>
              <w:pStyle w:val="Default"/>
              <w:rPr>
                <w:sz w:val="22"/>
                <w:szCs w:val="22"/>
              </w:rPr>
            </w:pPr>
            <w:r>
              <w:rPr>
                <w:sz w:val="22"/>
                <w:szCs w:val="22"/>
              </w:rPr>
              <w:t xml:space="preserve">• Day to day care of all patients on the ward (admission clerking and assessment, daily or more frequent clinical review, legible notes in medical records, prescribing, requesting investigations and </w:t>
            </w:r>
            <w:proofErr w:type="spellStart"/>
            <w:r>
              <w:rPr>
                <w:sz w:val="22"/>
                <w:szCs w:val="22"/>
              </w:rPr>
              <w:t>actioning</w:t>
            </w:r>
            <w:proofErr w:type="spellEnd"/>
            <w:r>
              <w:rPr>
                <w:sz w:val="22"/>
                <w:szCs w:val="22"/>
              </w:rPr>
              <w:t xml:space="preserve"> results,) </w:t>
            </w:r>
          </w:p>
          <w:p w:rsidR="00B26D68" w:rsidRDefault="00B26D68" w:rsidP="00B26D68">
            <w:pPr>
              <w:pStyle w:val="Default"/>
              <w:rPr>
                <w:sz w:val="22"/>
                <w:szCs w:val="22"/>
              </w:rPr>
            </w:pPr>
            <w:r>
              <w:rPr>
                <w:sz w:val="22"/>
                <w:szCs w:val="22"/>
              </w:rPr>
              <w:t xml:space="preserve">• Ward Rounds </w:t>
            </w:r>
          </w:p>
          <w:p w:rsidR="00B26D68" w:rsidRDefault="00B26D68" w:rsidP="00B26D68">
            <w:pPr>
              <w:pStyle w:val="Default"/>
              <w:rPr>
                <w:sz w:val="22"/>
                <w:szCs w:val="22"/>
              </w:rPr>
            </w:pPr>
            <w:r>
              <w:rPr>
                <w:sz w:val="22"/>
                <w:szCs w:val="22"/>
              </w:rPr>
              <w:t xml:space="preserve">• Discharge planning and e-discharge notifications </w:t>
            </w:r>
          </w:p>
          <w:p w:rsidR="00B26D68" w:rsidRDefault="00B26D68" w:rsidP="00B26D68">
            <w:pPr>
              <w:pStyle w:val="Default"/>
              <w:rPr>
                <w:sz w:val="22"/>
                <w:szCs w:val="22"/>
              </w:rPr>
            </w:pPr>
            <w:r>
              <w:rPr>
                <w:sz w:val="22"/>
                <w:szCs w:val="22"/>
              </w:rPr>
              <w:t>• Maintaining patient safety by abiding by the Medicines Code, Infection Prevention procedures, Medical Equipment/Devices policy, and clinical governance. .</w:t>
            </w:r>
          </w:p>
          <w:p w:rsidR="00B26D68" w:rsidRDefault="00B26D68" w:rsidP="00B26D68">
            <w:pPr>
              <w:pStyle w:val="Default"/>
              <w:rPr>
                <w:sz w:val="22"/>
                <w:szCs w:val="22"/>
              </w:rPr>
            </w:pPr>
            <w:r>
              <w:rPr>
                <w:sz w:val="22"/>
                <w:szCs w:val="22"/>
              </w:rPr>
              <w:t xml:space="preserve">• Clerking of new admissions and other ward-based duties as above </w:t>
            </w:r>
          </w:p>
          <w:p w:rsidR="00B26D68" w:rsidRDefault="00B26D68" w:rsidP="00B26D68">
            <w:pPr>
              <w:pStyle w:val="Default"/>
              <w:rPr>
                <w:sz w:val="22"/>
                <w:szCs w:val="22"/>
              </w:rPr>
            </w:pPr>
            <w:r>
              <w:rPr>
                <w:rFonts w:cstheme="minorBidi"/>
                <w:sz w:val="22"/>
                <w:szCs w:val="22"/>
              </w:rPr>
              <w:t>•</w:t>
            </w:r>
            <w:r>
              <w:rPr>
                <w:rFonts w:cstheme="minorBidi" w:hint="eastAsia"/>
                <w:sz w:val="22"/>
                <w:szCs w:val="22"/>
              </w:rPr>
              <w:t xml:space="preserve"> </w:t>
            </w:r>
            <w:r>
              <w:rPr>
                <w:sz w:val="22"/>
                <w:szCs w:val="22"/>
              </w:rPr>
              <w:t xml:space="preserve">Generic Skills / Professional Development FY2 Programme </w:t>
            </w:r>
          </w:p>
          <w:p w:rsidR="00B26D68" w:rsidRDefault="00B26D68" w:rsidP="00B26D68">
            <w:pPr>
              <w:pStyle w:val="Default"/>
              <w:rPr>
                <w:sz w:val="22"/>
                <w:szCs w:val="22"/>
              </w:rPr>
            </w:pPr>
            <w:r>
              <w:rPr>
                <w:rFonts w:cstheme="minorBidi"/>
                <w:sz w:val="22"/>
                <w:szCs w:val="22"/>
              </w:rPr>
              <w:t>•</w:t>
            </w:r>
            <w:r>
              <w:rPr>
                <w:rFonts w:cstheme="minorBidi" w:hint="eastAsia"/>
                <w:sz w:val="22"/>
                <w:szCs w:val="22"/>
              </w:rPr>
              <w:t xml:space="preserve"> </w:t>
            </w:r>
            <w:r>
              <w:rPr>
                <w:sz w:val="22"/>
                <w:szCs w:val="22"/>
              </w:rPr>
              <w:t xml:space="preserve">Weekly x-ray meeting and bi-weekly departmental tutorials </w:t>
            </w:r>
          </w:p>
          <w:p w:rsidR="00B26D68" w:rsidRDefault="00B26D68" w:rsidP="00B26D68">
            <w:pPr>
              <w:pStyle w:val="Default"/>
              <w:rPr>
                <w:sz w:val="22"/>
                <w:szCs w:val="22"/>
              </w:rPr>
            </w:pPr>
            <w:r>
              <w:rPr>
                <w:rFonts w:cstheme="minorBidi"/>
                <w:sz w:val="22"/>
                <w:szCs w:val="22"/>
              </w:rPr>
              <w:t>•</w:t>
            </w:r>
            <w:r>
              <w:rPr>
                <w:rFonts w:cstheme="minorBidi" w:hint="eastAsia"/>
                <w:sz w:val="22"/>
                <w:szCs w:val="22"/>
              </w:rPr>
              <w:t xml:space="preserve"> </w:t>
            </w:r>
            <w:r>
              <w:rPr>
                <w:sz w:val="22"/>
                <w:szCs w:val="22"/>
              </w:rPr>
              <w:t xml:space="preserve">Learning on the Job: Ward rounds, informal teaching from peers, middle grade and consultant staff, interaction with medical students and their educational activities etc. </w:t>
            </w:r>
          </w:p>
          <w:p w:rsidR="00B26D68" w:rsidRDefault="00B26D68" w:rsidP="00B26D68">
            <w:pPr>
              <w:pStyle w:val="Default"/>
              <w:rPr>
                <w:sz w:val="22"/>
                <w:szCs w:val="22"/>
              </w:rPr>
            </w:pPr>
            <w:r>
              <w:rPr>
                <w:rFonts w:cstheme="minorBidi"/>
                <w:sz w:val="22"/>
                <w:szCs w:val="22"/>
              </w:rPr>
              <w:t>•</w:t>
            </w:r>
            <w:r>
              <w:rPr>
                <w:rFonts w:cstheme="minorBidi" w:hint="eastAsia"/>
                <w:sz w:val="22"/>
                <w:szCs w:val="22"/>
              </w:rPr>
              <w:t xml:space="preserve"> </w:t>
            </w:r>
            <w:r>
              <w:rPr>
                <w:sz w:val="22"/>
                <w:szCs w:val="22"/>
              </w:rPr>
              <w:t xml:space="preserve">e-learning resources to support induction and ongoing professional development </w:t>
            </w:r>
          </w:p>
          <w:p w:rsidR="00B26D68" w:rsidRDefault="00B26D68" w:rsidP="00B26D68">
            <w:pPr>
              <w:pStyle w:val="Default"/>
              <w:rPr>
                <w:sz w:val="22"/>
                <w:szCs w:val="22"/>
              </w:rPr>
            </w:pPr>
            <w:r>
              <w:rPr>
                <w:sz w:val="22"/>
                <w:szCs w:val="22"/>
              </w:rPr>
              <w:t>• Involvement in clinical audit and QI projects.</w:t>
            </w:r>
          </w:p>
          <w:p w:rsidR="00B26D68" w:rsidRDefault="00B26D68" w:rsidP="00B26D68">
            <w:pPr>
              <w:pStyle w:val="Default"/>
              <w:rPr>
                <w:sz w:val="22"/>
                <w:szCs w:val="22"/>
              </w:rPr>
            </w:pPr>
            <w:r>
              <w:rPr>
                <w:sz w:val="22"/>
                <w:szCs w:val="22"/>
              </w:rPr>
              <w:t>• Presenting to colleagues in teachings.</w:t>
            </w:r>
          </w:p>
          <w:p w:rsidR="00800C77" w:rsidRPr="00354859" w:rsidRDefault="00B26D68" w:rsidP="00B26D68">
            <w:pPr>
              <w:rPr>
                <w:sz w:val="20"/>
                <w:szCs w:val="20"/>
              </w:rPr>
            </w:pPr>
            <w:r>
              <w:rPr>
                <w:sz w:val="22"/>
                <w:szCs w:val="22"/>
              </w:rPr>
              <w:t>• Monthly journal club and M&amp;M meeting</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Where the placement is based</w:t>
            </w:r>
          </w:p>
        </w:tc>
        <w:tc>
          <w:tcPr>
            <w:tcW w:w="6208" w:type="dxa"/>
          </w:tcPr>
          <w:p w:rsidR="000643A2" w:rsidRPr="007C49E1" w:rsidRDefault="00354859" w:rsidP="007C49E1">
            <w:pPr>
              <w:widowControl w:val="0"/>
              <w:rPr>
                <w:rFonts w:cs="Arial"/>
                <w:color w:val="000000"/>
                <w:sz w:val="22"/>
                <w:szCs w:val="22"/>
                <w:shd w:val="clear" w:color="auto" w:fill="FFFFFF"/>
              </w:rPr>
            </w:pPr>
            <w:r w:rsidRPr="007C49E1">
              <w:rPr>
                <w:rFonts w:cs="Arial"/>
                <w:color w:val="000000"/>
                <w:sz w:val="22"/>
                <w:szCs w:val="22"/>
                <w:shd w:val="clear" w:color="auto" w:fill="FFFFFF"/>
              </w:rPr>
              <w:t>Hull Royal Infirmary / Castle Hill Hospital</w:t>
            </w: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7C49E1" w:rsidRDefault="00354859" w:rsidP="007C49E1">
            <w:pPr>
              <w:widowControl w:val="0"/>
              <w:rPr>
                <w:rFonts w:cs="Arial"/>
                <w:color w:val="000000"/>
                <w:sz w:val="22"/>
                <w:szCs w:val="22"/>
                <w:shd w:val="clear" w:color="auto" w:fill="FFFFFF"/>
              </w:rPr>
            </w:pPr>
            <w:r w:rsidRPr="007C49E1">
              <w:rPr>
                <w:rFonts w:cs="Arial"/>
                <w:color w:val="000000"/>
                <w:sz w:val="22"/>
                <w:szCs w:val="22"/>
                <w:shd w:val="clear" w:color="auto" w:fill="FFFFFF"/>
              </w:rPr>
              <w:t>Will be allocated when you join the training programme.</w:t>
            </w:r>
          </w:p>
        </w:tc>
      </w:tr>
      <w:tr w:rsidR="00B26D68" w:rsidRPr="00800C77" w:rsidTr="00E41F41">
        <w:trPr>
          <w:trHeight w:val="144"/>
        </w:trPr>
        <w:tc>
          <w:tcPr>
            <w:tcW w:w="4566" w:type="dxa"/>
          </w:tcPr>
          <w:p w:rsidR="00B26D68" w:rsidRPr="00800C77" w:rsidRDefault="00B26D68" w:rsidP="00B26D68">
            <w:pPr>
              <w:pStyle w:val="Introductionparagraphblue"/>
              <w:rPr>
                <w:sz w:val="22"/>
                <w:szCs w:val="22"/>
              </w:rPr>
            </w:pPr>
            <w:r w:rsidRPr="00800C77">
              <w:rPr>
                <w:sz w:val="22"/>
                <w:szCs w:val="22"/>
              </w:rPr>
              <w:t>Main duties of the placement</w:t>
            </w:r>
          </w:p>
        </w:tc>
        <w:tc>
          <w:tcPr>
            <w:tcW w:w="6208" w:type="dxa"/>
          </w:tcPr>
          <w:p w:rsidR="00B26D68" w:rsidRDefault="00B26D68" w:rsidP="00B26D68">
            <w:pPr>
              <w:pStyle w:val="Default"/>
              <w:rPr>
                <w:sz w:val="22"/>
                <w:szCs w:val="22"/>
              </w:rPr>
            </w:pPr>
            <w:r>
              <w:rPr>
                <w:sz w:val="22"/>
                <w:szCs w:val="22"/>
              </w:rPr>
              <w:t>The FY2 doctors attached to Critical Care will share responsibility and tasks (as appropriate) for patients on one unit with the other junior doctors working on the unit. The medical staff works as a part of a multi-disciplinary team providing care for critically ill patients.</w:t>
            </w:r>
          </w:p>
          <w:p w:rsidR="00B26D68" w:rsidRPr="00354859" w:rsidRDefault="00B26D68" w:rsidP="00B26D68">
            <w:pPr>
              <w:rPr>
                <w:rFonts w:cs="Arial"/>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Typical working pattern in this placement</w:t>
            </w:r>
          </w:p>
        </w:tc>
        <w:tc>
          <w:tcPr>
            <w:tcW w:w="6208" w:type="dxa"/>
          </w:tcPr>
          <w:p w:rsidR="00B26D68" w:rsidRDefault="00B26D68" w:rsidP="00B26D68">
            <w:pPr>
              <w:rPr>
                <w:sz w:val="22"/>
                <w:szCs w:val="22"/>
              </w:rPr>
            </w:pPr>
            <w:r>
              <w:rPr>
                <w:sz w:val="22"/>
                <w:szCs w:val="22"/>
              </w:rPr>
              <w:t>Whilst on Critical Care, Major Trauma and Anaesthetic attachments work will be ordinary days (no week-ends) 0800-1600.</w:t>
            </w:r>
          </w:p>
          <w:p w:rsidR="000643A2" w:rsidRPr="007C49E1" w:rsidRDefault="00B26D68" w:rsidP="00B26D68">
            <w:pPr>
              <w:rPr>
                <w:rFonts w:cs="Arial"/>
                <w:sz w:val="22"/>
                <w:szCs w:val="22"/>
              </w:rPr>
            </w:pPr>
            <w:r w:rsidRPr="00273618">
              <w:rPr>
                <w:sz w:val="22"/>
                <w:szCs w:val="22"/>
              </w:rPr>
              <w:lastRenderedPageBreak/>
              <w:t>Out of hours work could be in any other specialty and will be reflected in your work schedule with adequate notice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lastRenderedPageBreak/>
              <w:t>Employer</w:t>
            </w:r>
          </w:p>
        </w:tc>
        <w:tc>
          <w:tcPr>
            <w:tcW w:w="6208" w:type="dxa"/>
          </w:tcPr>
          <w:p w:rsidR="000643A2" w:rsidRPr="00354859" w:rsidRDefault="00354859" w:rsidP="00EE7176">
            <w:pPr>
              <w:widowControl w:val="0"/>
              <w:rPr>
                <w:rFonts w:cs="Arial"/>
                <w:sz w:val="20"/>
                <w:szCs w:val="20"/>
              </w:rPr>
            </w:pPr>
            <w:r w:rsidRPr="007C49E1">
              <w:rPr>
                <w:rFonts w:cs="Arial"/>
                <w:color w:val="000000"/>
                <w:sz w:val="22"/>
                <w:szCs w:val="22"/>
                <w:shd w:val="clear" w:color="auto" w:fill="FFFFFF"/>
              </w:rPr>
              <w:t xml:space="preserve">Hull </w:t>
            </w:r>
            <w:r w:rsidR="00F17C78" w:rsidRPr="007C49E1">
              <w:rPr>
                <w:rFonts w:cs="Arial"/>
                <w:color w:val="000000"/>
                <w:sz w:val="22"/>
                <w:szCs w:val="22"/>
                <w:shd w:val="clear" w:color="auto" w:fill="FFFFFF"/>
              </w:rPr>
              <w:t>University Teaching Hospitals NHS Trust</w:t>
            </w:r>
          </w:p>
        </w:tc>
      </w:tr>
    </w:tbl>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A76867" w:rsidRPr="00800C77" w:rsidRDefault="000643A2" w:rsidP="000643A2">
      <w:pPr>
        <w:jc w:val="both"/>
        <w:rPr>
          <w:sz w:val="22"/>
          <w:szCs w:val="22"/>
        </w:rPr>
      </w:pPr>
      <w:bookmarkStart w:id="0" w:name="_GoBack"/>
      <w:bookmarkEnd w:id="0"/>
      <w:r w:rsidRPr="00800C77">
        <w:rPr>
          <w:sz w:val="22"/>
          <w:szCs w:val="22"/>
        </w:rPr>
        <w:t>It is important to note that this description is a typical example of your placement and may be subject to change.</w:t>
      </w:r>
    </w:p>
    <w:sectPr w:rsidR="00A76867" w:rsidRPr="00800C77" w:rsidSect="009040CB">
      <w:headerReference w:type="default" r:id="rId8"/>
      <w:footerReference w:type="even" r:id="rId9"/>
      <w:footerReference w:type="default" r:id="rId10"/>
      <w:headerReference w:type="first" r:id="rId11"/>
      <w:footerReference w:type="first" r:id="rId12"/>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D2" w:rsidRDefault="00BE34D2" w:rsidP="00AC72FD">
      <w:r>
        <w:separator/>
      </w:r>
    </w:p>
  </w:endnote>
  <w:endnote w:type="continuationSeparator" w:id="0">
    <w:p w:rsidR="00BE34D2" w:rsidRDefault="00BE34D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DC5BF3">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D2" w:rsidRDefault="00BE34D2" w:rsidP="00AC72FD">
      <w:r>
        <w:separator/>
      </w:r>
    </w:p>
  </w:footnote>
  <w:footnote w:type="continuationSeparator" w:id="0">
    <w:p w:rsidR="00BE34D2" w:rsidRDefault="00BE34D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-360044</wp:posOffset>
          </wp:positionV>
          <wp:extent cx="6972300" cy="6667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7016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643A2"/>
    <w:rsid w:val="000C7C00"/>
    <w:rsid w:val="00163DE1"/>
    <w:rsid w:val="00184133"/>
    <w:rsid w:val="001D4F3A"/>
    <w:rsid w:val="0025038D"/>
    <w:rsid w:val="002D6889"/>
    <w:rsid w:val="002E49BA"/>
    <w:rsid w:val="00354859"/>
    <w:rsid w:val="003C6902"/>
    <w:rsid w:val="00403B72"/>
    <w:rsid w:val="00410D98"/>
    <w:rsid w:val="00413194"/>
    <w:rsid w:val="0043667F"/>
    <w:rsid w:val="004B2321"/>
    <w:rsid w:val="00681D45"/>
    <w:rsid w:val="00767042"/>
    <w:rsid w:val="007C49E1"/>
    <w:rsid w:val="007F2CB8"/>
    <w:rsid w:val="00800C77"/>
    <w:rsid w:val="00832F64"/>
    <w:rsid w:val="008502F8"/>
    <w:rsid w:val="00861C74"/>
    <w:rsid w:val="009040CB"/>
    <w:rsid w:val="00906015"/>
    <w:rsid w:val="0091039C"/>
    <w:rsid w:val="009D32F5"/>
    <w:rsid w:val="009E2641"/>
    <w:rsid w:val="00A030ED"/>
    <w:rsid w:val="00A76867"/>
    <w:rsid w:val="00AC72FD"/>
    <w:rsid w:val="00AD3004"/>
    <w:rsid w:val="00AE76EF"/>
    <w:rsid w:val="00B10BB8"/>
    <w:rsid w:val="00B26D68"/>
    <w:rsid w:val="00B44DC5"/>
    <w:rsid w:val="00BE34D2"/>
    <w:rsid w:val="00C3369E"/>
    <w:rsid w:val="00CA7EEA"/>
    <w:rsid w:val="00DA527C"/>
    <w:rsid w:val="00DC5BF3"/>
    <w:rsid w:val="00DF6A80"/>
    <w:rsid w:val="00E41F41"/>
    <w:rsid w:val="00ED2809"/>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6E1E1F1"/>
  <w14:defaultImageDpi w14:val="300"/>
  <w15:docId w15:val="{F8C5CCD4-EDF6-4996-9E42-B08660AC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Default">
    <w:name w:val="Default"/>
    <w:rsid w:val="00B10BB8"/>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1220">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2DD3F-C9B1-4737-9C19-675E5E6AA137}">
  <ds:schemaRefs>
    <ds:schemaRef ds:uri="http://schemas.openxmlformats.org/officeDocument/2006/bibliography"/>
  </ds:schemaRefs>
</ds:datastoreItem>
</file>

<file path=customXml/itemProps2.xml><?xml version="1.0" encoding="utf-8"?>
<ds:datastoreItem xmlns:ds="http://schemas.openxmlformats.org/officeDocument/2006/customXml" ds:itemID="{4365D680-4EDF-4A15-BEC9-A5EE652270A4}"/>
</file>

<file path=customXml/itemProps3.xml><?xml version="1.0" encoding="utf-8"?>
<ds:datastoreItem xmlns:ds="http://schemas.openxmlformats.org/officeDocument/2006/customXml" ds:itemID="{50E75BDE-5205-4A78-8DD5-F9137C8A5B61}"/>
</file>

<file path=customXml/itemProps4.xml><?xml version="1.0" encoding="utf-8"?>
<ds:datastoreItem xmlns:ds="http://schemas.openxmlformats.org/officeDocument/2006/customXml" ds:itemID="{1B542205-A90E-474B-8892-4E72ECDA514E}"/>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5</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4</cp:revision>
  <dcterms:created xsi:type="dcterms:W3CDTF">2022-12-06T11:24:00Z</dcterms:created>
  <dcterms:modified xsi:type="dcterms:W3CDTF">2022-12-06T11:30:00Z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