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87" w:rsidRPr="00800C77" w:rsidRDefault="00800C77" w:rsidP="00987D6C">
      <w:pPr>
        <w:pStyle w:val="Reportcovertitle"/>
        <w:spacing w:before="0"/>
        <w:jc w:val="center"/>
        <w:rPr>
          <w:sz w:val="56"/>
          <w:szCs w:val="56"/>
        </w:rPr>
      </w:pPr>
      <w:r w:rsidRPr="00800C77">
        <w:rPr>
          <w:noProof/>
          <w:sz w:val="56"/>
          <w:szCs w:val="56"/>
          <w:lang w:eastAsia="en-GB"/>
        </w:rPr>
        <w:drawing>
          <wp:anchor distT="0" distB="0" distL="114300" distR="114300" simplePos="0" relativeHeight="251658240"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AD4FBB" w:rsidRDefault="00354859" w:rsidP="00E94EE5">
            <w:pPr>
              <w:rPr>
                <w:rFonts w:cs="Arial"/>
                <w:sz w:val="22"/>
                <w:szCs w:val="22"/>
              </w:rPr>
            </w:pPr>
            <w:r w:rsidRPr="00AD4FBB">
              <w:rPr>
                <w:rFonts w:cs="Arial"/>
                <w:sz w:val="22"/>
                <w:szCs w:val="22"/>
              </w:rPr>
              <w:t>F</w:t>
            </w:r>
            <w:r w:rsidR="00856BDB" w:rsidRPr="00AD4FBB">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AD4FBB" w:rsidRDefault="00856BDB" w:rsidP="000643A2">
            <w:pPr>
              <w:rPr>
                <w:rFonts w:cs="Arial"/>
                <w:sz w:val="22"/>
                <w:szCs w:val="22"/>
              </w:rPr>
            </w:pPr>
            <w:r w:rsidRPr="00AD4FBB">
              <w:rPr>
                <w:rFonts w:cs="Arial"/>
                <w:sz w:val="22"/>
                <w:szCs w:val="22"/>
              </w:rPr>
              <w:t>Obstetrics &amp; Gynaecology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856BDB" w:rsidRPr="00AD4FBB" w:rsidRDefault="00856BDB" w:rsidP="00856BDB">
            <w:pPr>
              <w:jc w:val="both"/>
              <w:rPr>
                <w:rFonts w:cs="Arial"/>
                <w:sz w:val="22"/>
                <w:szCs w:val="22"/>
              </w:rPr>
            </w:pPr>
            <w:r w:rsidRPr="00AD4FBB">
              <w:rPr>
                <w:rFonts w:cs="Arial"/>
                <w:sz w:val="22"/>
                <w:szCs w:val="22"/>
              </w:rPr>
              <w:t>Obs and Gynae wards located in the ultra-modern Women and Children’s department in the Hull &amp; East Yorkshire Hospitals.</w:t>
            </w:r>
          </w:p>
          <w:p w:rsidR="00856BDB" w:rsidRPr="00AD4FBB" w:rsidRDefault="00856BDB" w:rsidP="00856BDB">
            <w:pPr>
              <w:jc w:val="both"/>
              <w:rPr>
                <w:rFonts w:cs="Arial"/>
                <w:sz w:val="22"/>
                <w:szCs w:val="22"/>
              </w:rPr>
            </w:pPr>
          </w:p>
          <w:p w:rsidR="00856BDB" w:rsidRPr="00AD4FBB" w:rsidRDefault="00856BDB" w:rsidP="00856BDB">
            <w:pPr>
              <w:jc w:val="both"/>
              <w:rPr>
                <w:rFonts w:cs="Arial"/>
                <w:sz w:val="22"/>
                <w:szCs w:val="22"/>
              </w:rPr>
            </w:pPr>
            <w:r w:rsidRPr="00AD4FBB">
              <w:rPr>
                <w:rFonts w:cs="Arial"/>
                <w:sz w:val="22"/>
                <w:szCs w:val="22"/>
              </w:rPr>
              <w:t>Elective Obs and Gynae work is also undertaken at the Castle Hill Hospital site (Ward 12).</w:t>
            </w:r>
          </w:p>
          <w:p w:rsidR="00800C77" w:rsidRPr="00AD4FBB" w:rsidRDefault="00800C77" w:rsidP="004B792C">
            <w:pPr>
              <w:jc w:val="both"/>
              <w:rPr>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50779C" w:rsidRPr="00944784" w:rsidRDefault="0050779C" w:rsidP="0050779C">
            <w:pPr>
              <w:numPr>
                <w:ilvl w:val="0"/>
                <w:numId w:val="3"/>
              </w:numPr>
              <w:jc w:val="both"/>
              <w:rPr>
                <w:rFonts w:cs="Arial"/>
              </w:rPr>
            </w:pPr>
            <w:r w:rsidRPr="00944784">
              <w:rPr>
                <w:rFonts w:cs="Arial"/>
                <w:sz w:val="22"/>
                <w:szCs w:val="22"/>
              </w:rPr>
              <w:t>To build upon F1 education.</w:t>
            </w:r>
          </w:p>
          <w:p w:rsidR="0050779C" w:rsidRPr="00944784" w:rsidRDefault="0050779C" w:rsidP="0050779C">
            <w:pPr>
              <w:numPr>
                <w:ilvl w:val="0"/>
                <w:numId w:val="3"/>
              </w:numPr>
              <w:jc w:val="both"/>
              <w:rPr>
                <w:rFonts w:cs="Arial"/>
              </w:rPr>
            </w:pPr>
            <w:r w:rsidRPr="00944784">
              <w:rPr>
                <w:rFonts w:cs="Arial"/>
                <w:sz w:val="22"/>
                <w:szCs w:val="22"/>
              </w:rPr>
              <w:t>To gain experience and familiarity in dealing with a wide variety of medical</w:t>
            </w:r>
            <w:r>
              <w:rPr>
                <w:rFonts w:cs="Arial"/>
                <w:sz w:val="22"/>
                <w:szCs w:val="22"/>
              </w:rPr>
              <w:t xml:space="preserve"> Obstetric and Gynaecological </w:t>
            </w:r>
            <w:r w:rsidRPr="00944784">
              <w:rPr>
                <w:rFonts w:cs="Arial"/>
                <w:sz w:val="22"/>
                <w:szCs w:val="22"/>
              </w:rPr>
              <w:t>conditions.</w:t>
            </w:r>
          </w:p>
          <w:p w:rsidR="0050779C" w:rsidRPr="0020167B" w:rsidRDefault="0050779C" w:rsidP="0050779C">
            <w:pPr>
              <w:numPr>
                <w:ilvl w:val="0"/>
                <w:numId w:val="3"/>
              </w:numPr>
              <w:jc w:val="both"/>
              <w:rPr>
                <w:rFonts w:cs="Arial"/>
              </w:rPr>
            </w:pPr>
            <w:r w:rsidRPr="00944784">
              <w:rPr>
                <w:rFonts w:cs="Arial"/>
                <w:sz w:val="22"/>
                <w:szCs w:val="22"/>
              </w:rPr>
              <w:t>To develop the skills of history taking, physical examination</w:t>
            </w:r>
            <w:r>
              <w:rPr>
                <w:rFonts w:cs="Arial"/>
                <w:sz w:val="22"/>
                <w:szCs w:val="22"/>
              </w:rPr>
              <w:t xml:space="preserve"> in women's health</w:t>
            </w:r>
            <w:r w:rsidRPr="00944784">
              <w:rPr>
                <w:rFonts w:cs="Arial"/>
                <w:sz w:val="22"/>
                <w:szCs w:val="22"/>
              </w:rPr>
              <w:t xml:space="preserve">, appropriate investigation and rational prescribing.  </w:t>
            </w:r>
            <w:r w:rsidRPr="0020167B">
              <w:rPr>
                <w:rFonts w:cs="Arial"/>
                <w:sz w:val="22"/>
                <w:szCs w:val="22"/>
              </w:rPr>
              <w:t>.</w:t>
            </w:r>
          </w:p>
          <w:p w:rsidR="0050779C" w:rsidRPr="00944784" w:rsidRDefault="0050779C" w:rsidP="0050779C">
            <w:pPr>
              <w:numPr>
                <w:ilvl w:val="0"/>
                <w:numId w:val="3"/>
              </w:numPr>
              <w:jc w:val="both"/>
              <w:rPr>
                <w:rFonts w:cs="Arial"/>
              </w:rPr>
            </w:pPr>
            <w:r w:rsidRPr="00944784">
              <w:rPr>
                <w:rFonts w:cs="Arial"/>
                <w:sz w:val="22"/>
                <w:szCs w:val="22"/>
              </w:rPr>
              <w:t>To improve communication skills with patients, relatives and colleagues</w:t>
            </w:r>
            <w:r>
              <w:rPr>
                <w:rFonts w:cs="Arial"/>
                <w:sz w:val="22"/>
                <w:szCs w:val="22"/>
              </w:rPr>
              <w:t xml:space="preserve"> including breaking bad news</w:t>
            </w:r>
            <w:r w:rsidRPr="00944784">
              <w:rPr>
                <w:rFonts w:cs="Arial"/>
                <w:sz w:val="22"/>
                <w:szCs w:val="22"/>
              </w:rPr>
              <w:t>.</w:t>
            </w:r>
          </w:p>
          <w:p w:rsidR="0050779C" w:rsidRPr="0020167B" w:rsidRDefault="0050779C" w:rsidP="0050779C">
            <w:pPr>
              <w:numPr>
                <w:ilvl w:val="0"/>
                <w:numId w:val="3"/>
              </w:numPr>
              <w:jc w:val="both"/>
              <w:rPr>
                <w:rFonts w:ascii="Cambria" w:hAnsi="Cambria" w:cs="Times New Roman"/>
              </w:rPr>
            </w:pPr>
            <w:r w:rsidRPr="00944784">
              <w:rPr>
                <w:rFonts w:cs="Arial"/>
                <w:sz w:val="22"/>
                <w:szCs w:val="22"/>
              </w:rPr>
              <w:t>To develop skills in managing time and</w:t>
            </w:r>
            <w:r w:rsidRPr="00944784">
              <w:rPr>
                <w:sz w:val="22"/>
                <w:szCs w:val="22"/>
              </w:rPr>
              <w:t xml:space="preserve"> </w:t>
            </w:r>
            <w:r w:rsidRPr="00944784">
              <w:rPr>
                <w:rFonts w:cs="Arial"/>
                <w:sz w:val="22"/>
                <w:szCs w:val="22"/>
              </w:rPr>
              <w:t>conflicting priorities.</w:t>
            </w:r>
          </w:p>
          <w:p w:rsidR="0050779C" w:rsidRPr="0020167B" w:rsidRDefault="0050779C" w:rsidP="0050779C">
            <w:pPr>
              <w:numPr>
                <w:ilvl w:val="0"/>
                <w:numId w:val="3"/>
              </w:numPr>
              <w:jc w:val="both"/>
              <w:rPr>
                <w:rFonts w:ascii="Cambria" w:hAnsi="Cambria" w:cs="Times New Roman"/>
              </w:rPr>
            </w:pPr>
            <w:r>
              <w:rPr>
                <w:rFonts w:cs="Arial"/>
                <w:sz w:val="22"/>
                <w:szCs w:val="22"/>
              </w:rPr>
              <w:t xml:space="preserve">To develop ability to work in multidisciplinary team environment </w:t>
            </w:r>
          </w:p>
          <w:p w:rsidR="0050779C" w:rsidRPr="00944784" w:rsidRDefault="0050779C" w:rsidP="0050779C">
            <w:pPr>
              <w:numPr>
                <w:ilvl w:val="0"/>
                <w:numId w:val="3"/>
              </w:numPr>
              <w:jc w:val="both"/>
              <w:rPr>
                <w:rFonts w:cs="Times New Roman"/>
              </w:rPr>
            </w:pPr>
            <w:r>
              <w:rPr>
                <w:rFonts w:cs="Arial"/>
                <w:sz w:val="22"/>
                <w:szCs w:val="22"/>
              </w:rPr>
              <w:t xml:space="preserve">Career guidance and support to secure a place in run through training for those wishing to pursue a career in O&amp;G </w:t>
            </w:r>
          </w:p>
          <w:p w:rsidR="0050779C" w:rsidRPr="00944784" w:rsidRDefault="0050779C" w:rsidP="0050779C">
            <w:pPr>
              <w:jc w:val="both"/>
              <w:rPr>
                <w:rFonts w:cs="Times New Roman"/>
              </w:rPr>
            </w:pPr>
          </w:p>
          <w:p w:rsidR="0050779C" w:rsidRPr="00944784" w:rsidRDefault="0050779C" w:rsidP="0050779C">
            <w:pPr>
              <w:jc w:val="both"/>
              <w:rPr>
                <w:rFonts w:cs="Arial"/>
              </w:rPr>
            </w:pPr>
            <w:r w:rsidRPr="00944784">
              <w:rPr>
                <w:rFonts w:cs="Arial"/>
                <w:sz w:val="22"/>
                <w:szCs w:val="22"/>
              </w:rPr>
              <w:t>At the end of the four month period the FY2 will have obtained experience in the following:</w:t>
            </w:r>
          </w:p>
          <w:p w:rsidR="0050779C" w:rsidRPr="00B02D53" w:rsidRDefault="0050779C" w:rsidP="0050779C">
            <w:pPr>
              <w:numPr>
                <w:ilvl w:val="0"/>
                <w:numId w:val="1"/>
              </w:numPr>
              <w:jc w:val="both"/>
              <w:rPr>
                <w:rFonts w:cs="Arial"/>
              </w:rPr>
            </w:pPr>
            <w:r w:rsidRPr="00944784">
              <w:rPr>
                <w:rFonts w:cs="Arial"/>
                <w:sz w:val="22"/>
                <w:szCs w:val="22"/>
              </w:rPr>
              <w:t xml:space="preserve">Diagnosing </w:t>
            </w:r>
            <w:r>
              <w:rPr>
                <w:rFonts w:cs="Arial"/>
                <w:sz w:val="22"/>
                <w:szCs w:val="22"/>
              </w:rPr>
              <w:t xml:space="preserve">and treatment of </w:t>
            </w:r>
            <w:r w:rsidRPr="00944784">
              <w:rPr>
                <w:rFonts w:cs="Arial"/>
                <w:sz w:val="22"/>
                <w:szCs w:val="22"/>
              </w:rPr>
              <w:t xml:space="preserve">a wide range of common </w:t>
            </w:r>
            <w:r>
              <w:rPr>
                <w:rFonts w:cs="Arial"/>
                <w:sz w:val="22"/>
                <w:szCs w:val="22"/>
              </w:rPr>
              <w:t xml:space="preserve">Obstetric and Gynaecological </w:t>
            </w:r>
            <w:r w:rsidRPr="00944784">
              <w:rPr>
                <w:rFonts w:cs="Arial"/>
                <w:sz w:val="22"/>
                <w:szCs w:val="22"/>
              </w:rPr>
              <w:t>conditions</w:t>
            </w:r>
          </w:p>
          <w:p w:rsidR="0050779C" w:rsidRPr="00944784" w:rsidRDefault="0050779C" w:rsidP="0050779C">
            <w:pPr>
              <w:numPr>
                <w:ilvl w:val="0"/>
                <w:numId w:val="1"/>
              </w:numPr>
              <w:jc w:val="both"/>
              <w:rPr>
                <w:rFonts w:cs="Arial"/>
              </w:rPr>
            </w:pPr>
            <w:r>
              <w:rPr>
                <w:rFonts w:cs="Arial"/>
                <w:sz w:val="22"/>
                <w:szCs w:val="22"/>
              </w:rPr>
              <w:t>Providing postnatal care following normal and operative vaginal delivery</w:t>
            </w:r>
          </w:p>
          <w:p w:rsidR="0050779C" w:rsidRPr="00B02D53" w:rsidRDefault="0050779C" w:rsidP="0050779C">
            <w:pPr>
              <w:numPr>
                <w:ilvl w:val="0"/>
                <w:numId w:val="1"/>
              </w:numPr>
              <w:jc w:val="both"/>
              <w:rPr>
                <w:rFonts w:cs="Arial"/>
              </w:rPr>
            </w:pPr>
            <w:r>
              <w:rPr>
                <w:rFonts w:cs="Arial"/>
                <w:sz w:val="22"/>
                <w:szCs w:val="22"/>
              </w:rPr>
              <w:t>Contraception and sexual health</w:t>
            </w:r>
          </w:p>
          <w:p w:rsidR="0050779C" w:rsidRPr="00B02D53" w:rsidRDefault="0050779C" w:rsidP="0050779C">
            <w:pPr>
              <w:numPr>
                <w:ilvl w:val="0"/>
                <w:numId w:val="1"/>
              </w:numPr>
              <w:jc w:val="both"/>
              <w:rPr>
                <w:rFonts w:cs="Arial"/>
              </w:rPr>
            </w:pPr>
            <w:r>
              <w:rPr>
                <w:rFonts w:cs="Arial"/>
                <w:sz w:val="22"/>
                <w:szCs w:val="22"/>
              </w:rPr>
              <w:t xml:space="preserve">Obtaining cervical smears </w:t>
            </w:r>
          </w:p>
          <w:p w:rsidR="0050779C" w:rsidRPr="00944784" w:rsidRDefault="0050779C" w:rsidP="0050779C">
            <w:pPr>
              <w:numPr>
                <w:ilvl w:val="0"/>
                <w:numId w:val="1"/>
              </w:numPr>
              <w:jc w:val="both"/>
              <w:rPr>
                <w:rFonts w:cs="Arial"/>
              </w:rPr>
            </w:pPr>
            <w:r>
              <w:rPr>
                <w:rFonts w:cs="Arial"/>
                <w:sz w:val="22"/>
                <w:szCs w:val="22"/>
              </w:rPr>
              <w:t>Specialized clinics such as colposcopy and hysteroscopy</w:t>
            </w:r>
          </w:p>
          <w:p w:rsidR="0050779C" w:rsidRPr="0020167B" w:rsidRDefault="0050779C" w:rsidP="0050779C">
            <w:pPr>
              <w:pStyle w:val="ListParagraph"/>
              <w:numPr>
                <w:ilvl w:val="0"/>
                <w:numId w:val="1"/>
              </w:numPr>
              <w:jc w:val="both"/>
              <w:rPr>
                <w:rFonts w:ascii="Arial" w:hAnsi="Arial" w:cs="Arial"/>
              </w:rPr>
            </w:pPr>
            <w:r>
              <w:rPr>
                <w:rFonts w:ascii="Arial" w:hAnsi="Arial" w:cs="Arial"/>
                <w:sz w:val="22"/>
                <w:szCs w:val="22"/>
              </w:rPr>
              <w:t>Clinical audits-</w:t>
            </w:r>
            <w:r w:rsidRPr="0020167B">
              <w:rPr>
                <w:rFonts w:ascii="Arial" w:hAnsi="Arial" w:cs="Arial"/>
                <w:sz w:val="22"/>
                <w:szCs w:val="22"/>
              </w:rPr>
              <w:t>Trainees will be given audit topics to prepare at the start of their work in the department.</w:t>
            </w:r>
          </w:p>
          <w:p w:rsidR="00800C77" w:rsidRPr="00354859" w:rsidRDefault="00800C77" w:rsidP="00814DFD">
            <w:pPr>
              <w:rPr>
                <w:sz w:val="20"/>
                <w:szCs w:val="20"/>
              </w:rPr>
            </w:pPr>
          </w:p>
        </w:tc>
      </w:tr>
      <w:tr w:rsidR="000643A2" w:rsidRPr="00800C77" w:rsidTr="00E41F41">
        <w:trPr>
          <w:trHeight w:val="144"/>
        </w:trPr>
        <w:tc>
          <w:tcPr>
            <w:tcW w:w="4566" w:type="dxa"/>
          </w:tcPr>
          <w:p w:rsidR="000643A2" w:rsidRPr="00AD4FBB" w:rsidRDefault="000643A2" w:rsidP="000643A2">
            <w:pPr>
              <w:pStyle w:val="Introductionparagraphblue"/>
              <w:rPr>
                <w:rFonts w:cs="Arial"/>
                <w:sz w:val="22"/>
                <w:szCs w:val="22"/>
              </w:rPr>
            </w:pPr>
            <w:r w:rsidRPr="00AD4FBB">
              <w:rPr>
                <w:rFonts w:cs="Arial"/>
                <w:sz w:val="22"/>
                <w:szCs w:val="22"/>
              </w:rPr>
              <w:lastRenderedPageBreak/>
              <w:t>Where the placement is based</w:t>
            </w:r>
          </w:p>
        </w:tc>
        <w:tc>
          <w:tcPr>
            <w:tcW w:w="6208" w:type="dxa"/>
          </w:tcPr>
          <w:p w:rsidR="000643A2" w:rsidRPr="00AD4FBB" w:rsidRDefault="0050779C" w:rsidP="000643A2">
            <w:pPr>
              <w:jc w:val="both"/>
              <w:rPr>
                <w:rFonts w:cs="Arial"/>
                <w:sz w:val="22"/>
                <w:szCs w:val="22"/>
              </w:rPr>
            </w:pPr>
            <w:r w:rsidRPr="00AD4FBB">
              <w:rPr>
                <w:rFonts w:cs="Arial"/>
                <w:sz w:val="22"/>
                <w:szCs w:val="22"/>
              </w:rPr>
              <w:t>Hull Royal Infirmary</w:t>
            </w:r>
          </w:p>
        </w:tc>
      </w:tr>
      <w:tr w:rsidR="000643A2" w:rsidRPr="00800C77" w:rsidTr="00E41F41">
        <w:trPr>
          <w:trHeight w:val="144"/>
        </w:trPr>
        <w:tc>
          <w:tcPr>
            <w:tcW w:w="4566" w:type="dxa"/>
          </w:tcPr>
          <w:p w:rsidR="000643A2" w:rsidRPr="00AD4FBB" w:rsidRDefault="008502F8" w:rsidP="000643A2">
            <w:pPr>
              <w:pStyle w:val="Introductionparagraphblue"/>
              <w:rPr>
                <w:rFonts w:cs="Arial"/>
                <w:sz w:val="22"/>
                <w:szCs w:val="22"/>
              </w:rPr>
            </w:pPr>
            <w:r w:rsidRPr="00AD4FBB">
              <w:rPr>
                <w:rFonts w:cs="Arial"/>
                <w:sz w:val="22"/>
                <w:szCs w:val="22"/>
              </w:rPr>
              <w:t xml:space="preserve">Educational and </w:t>
            </w:r>
            <w:r w:rsidR="000643A2" w:rsidRPr="00AD4FBB">
              <w:rPr>
                <w:rFonts w:cs="Arial"/>
                <w:sz w:val="22"/>
                <w:szCs w:val="22"/>
              </w:rPr>
              <w:t>Clinical Supervisor(s) for the placement</w:t>
            </w:r>
          </w:p>
        </w:tc>
        <w:tc>
          <w:tcPr>
            <w:tcW w:w="6208" w:type="dxa"/>
          </w:tcPr>
          <w:p w:rsidR="00800C77" w:rsidRPr="00AD4FBB" w:rsidRDefault="00354859" w:rsidP="00E94EE5">
            <w:pPr>
              <w:jc w:val="both"/>
              <w:rPr>
                <w:rFonts w:cs="Arial"/>
                <w:sz w:val="22"/>
                <w:szCs w:val="22"/>
              </w:rPr>
            </w:pPr>
            <w:r w:rsidRPr="00AD4FBB">
              <w:rPr>
                <w:rFonts w:cs="Arial"/>
                <w:sz w:val="22"/>
                <w:szCs w:val="22"/>
              </w:rPr>
              <w:t>Will be allocated when you join the training programme.</w:t>
            </w:r>
          </w:p>
        </w:tc>
      </w:tr>
      <w:tr w:rsidR="000643A2" w:rsidRPr="00800C77" w:rsidTr="00E41F41">
        <w:trPr>
          <w:trHeight w:val="144"/>
        </w:trPr>
        <w:tc>
          <w:tcPr>
            <w:tcW w:w="4566" w:type="dxa"/>
          </w:tcPr>
          <w:p w:rsidR="000643A2" w:rsidRPr="00AD4FBB" w:rsidRDefault="000643A2" w:rsidP="000643A2">
            <w:pPr>
              <w:pStyle w:val="Introductionparagraphblue"/>
              <w:rPr>
                <w:rFonts w:cs="Arial"/>
                <w:sz w:val="22"/>
                <w:szCs w:val="22"/>
              </w:rPr>
            </w:pPr>
            <w:r w:rsidRPr="00AD4FBB">
              <w:rPr>
                <w:rFonts w:cs="Arial"/>
                <w:sz w:val="22"/>
                <w:szCs w:val="22"/>
              </w:rPr>
              <w:t>Main duties of the placement</w:t>
            </w:r>
          </w:p>
        </w:tc>
        <w:tc>
          <w:tcPr>
            <w:tcW w:w="6208" w:type="dxa"/>
          </w:tcPr>
          <w:p w:rsidR="0050779C" w:rsidRPr="00AD4FBB" w:rsidRDefault="0050779C" w:rsidP="0050779C">
            <w:pPr>
              <w:jc w:val="both"/>
              <w:rPr>
                <w:rFonts w:cs="Arial"/>
                <w:sz w:val="22"/>
                <w:szCs w:val="22"/>
              </w:rPr>
            </w:pPr>
            <w:r w:rsidRPr="00AD4FBB">
              <w:rPr>
                <w:rFonts w:cs="Arial"/>
                <w:sz w:val="22"/>
                <w:szCs w:val="22"/>
              </w:rPr>
              <w:t>Together with Core Trainees and SpR in Obs and Gynae the trainee will be responsible for clerking basic and investigation of patients. Trainees will also attend Consultant ward rounds. Engage in departmental teaching and audit</w:t>
            </w:r>
          </w:p>
          <w:p w:rsidR="0050779C" w:rsidRPr="00AD4FBB" w:rsidRDefault="0050779C" w:rsidP="0050779C">
            <w:pPr>
              <w:jc w:val="both"/>
              <w:rPr>
                <w:rFonts w:cs="Arial"/>
                <w:sz w:val="22"/>
                <w:szCs w:val="22"/>
              </w:rPr>
            </w:pPr>
          </w:p>
          <w:p w:rsidR="0050779C" w:rsidRPr="00AD4FBB" w:rsidRDefault="0050779C" w:rsidP="0050779C">
            <w:pPr>
              <w:jc w:val="both"/>
              <w:rPr>
                <w:rFonts w:cs="Arial"/>
                <w:sz w:val="22"/>
                <w:szCs w:val="22"/>
              </w:rPr>
            </w:pPr>
            <w:r w:rsidRPr="00AD4FBB">
              <w:rPr>
                <w:rFonts w:cs="Arial"/>
                <w:sz w:val="22"/>
                <w:szCs w:val="22"/>
              </w:rPr>
              <w:t>Will provide care under the supervision of SpR and Consultants for all patients in the unit.</w:t>
            </w:r>
          </w:p>
          <w:p w:rsidR="000643A2" w:rsidRPr="00AD4FBB" w:rsidRDefault="000643A2" w:rsidP="004B792C">
            <w:pPr>
              <w:jc w:val="both"/>
              <w:rPr>
                <w:rFonts w:cs="Arial"/>
                <w:sz w:val="22"/>
                <w:szCs w:val="22"/>
              </w:rPr>
            </w:pPr>
          </w:p>
        </w:tc>
      </w:tr>
      <w:tr w:rsidR="000643A2" w:rsidRPr="00800C77" w:rsidTr="00E41F41">
        <w:trPr>
          <w:trHeight w:val="144"/>
        </w:trPr>
        <w:tc>
          <w:tcPr>
            <w:tcW w:w="4566" w:type="dxa"/>
          </w:tcPr>
          <w:p w:rsidR="000643A2" w:rsidRPr="00AD4FBB" w:rsidRDefault="000643A2" w:rsidP="000643A2">
            <w:pPr>
              <w:pStyle w:val="Introductionparagraphblue"/>
              <w:rPr>
                <w:rFonts w:cs="Arial"/>
                <w:sz w:val="22"/>
                <w:szCs w:val="22"/>
              </w:rPr>
            </w:pPr>
            <w:r w:rsidRPr="00AD4FBB">
              <w:rPr>
                <w:rFonts w:cs="Arial"/>
                <w:sz w:val="22"/>
                <w:szCs w:val="22"/>
              </w:rPr>
              <w:t>Typical working pattern in this placement</w:t>
            </w:r>
          </w:p>
        </w:tc>
        <w:tc>
          <w:tcPr>
            <w:tcW w:w="6208" w:type="dxa"/>
          </w:tcPr>
          <w:p w:rsidR="000643A2" w:rsidRPr="00AD4FBB" w:rsidRDefault="0050779C" w:rsidP="00814DFD">
            <w:pPr>
              <w:rPr>
                <w:rFonts w:cs="Arial"/>
                <w:sz w:val="22"/>
                <w:szCs w:val="22"/>
              </w:rPr>
            </w:pPr>
            <w:r w:rsidRPr="00AD4FBB">
              <w:rPr>
                <w:rFonts w:cs="Arial"/>
                <w:sz w:val="22"/>
                <w:szCs w:val="22"/>
              </w:rPr>
              <w:t>Typical working pattern in this post e.g. on call duties, ward rounds, clinics, theatre sessions.</w:t>
            </w:r>
          </w:p>
          <w:p w:rsidR="003865A7" w:rsidRPr="00AD4FBB" w:rsidRDefault="003865A7" w:rsidP="00814DFD">
            <w:pPr>
              <w:rPr>
                <w:rFonts w:cs="Arial"/>
                <w:sz w:val="22"/>
                <w:szCs w:val="22"/>
              </w:rPr>
            </w:pPr>
          </w:p>
          <w:p w:rsidR="003865A7" w:rsidRPr="00AD4FBB" w:rsidRDefault="003865A7" w:rsidP="00814DFD">
            <w:pPr>
              <w:rPr>
                <w:rFonts w:cs="Arial"/>
                <w:sz w:val="22"/>
                <w:szCs w:val="22"/>
              </w:rPr>
            </w:pPr>
            <w:r w:rsidRPr="00AD4FBB">
              <w:rPr>
                <w:rFonts w:cs="Arial"/>
                <w:color w:val="000000"/>
                <w:sz w:val="22"/>
                <w:szCs w:val="22"/>
                <w:shd w:val="clear" w:color="auto" w:fill="FFFFFF"/>
              </w:rPr>
              <w:t>Out of hours work could be in any other specialty and will be reflected in your work schedule with adequate notice</w:t>
            </w:r>
            <w:r w:rsidRPr="00AD4FBB">
              <w:rPr>
                <w:rFonts w:cs="Arial"/>
                <w:sz w:val="22"/>
                <w:szCs w:val="22"/>
                <w:lang w:eastAsia="en-GB"/>
              </w:rPr>
              <w: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3865A7" w:rsidRDefault="00354859" w:rsidP="00EE7176">
            <w:pPr>
              <w:widowControl w:val="0"/>
              <w:rPr>
                <w:rFonts w:cs="Arial"/>
                <w:sz w:val="22"/>
                <w:szCs w:val="22"/>
              </w:rPr>
            </w:pPr>
            <w:r w:rsidRPr="003865A7">
              <w:rPr>
                <w:rFonts w:cs="Arial"/>
                <w:sz w:val="22"/>
                <w:szCs w:val="22"/>
              </w:rPr>
              <w:t xml:space="preserve">Hull </w:t>
            </w:r>
            <w:r w:rsidR="00F17C78" w:rsidRPr="003865A7">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r w:rsidRPr="00800C77">
        <w:rPr>
          <w:sz w:val="22"/>
          <w:szCs w:val="22"/>
        </w:rPr>
        <w:t>It is important to note that this description is a typical example of your placement and may be subject to change.</w:t>
      </w:r>
      <w:bookmarkEnd w:id="0"/>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87D6C">
      <w:rPr>
        <w:rStyle w:val="PageNumber"/>
        <w:noProof/>
        <w:color w:val="7F7F7F" w:themeColor="text1" w:themeTint="80"/>
      </w:rPr>
      <w:t>2</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63DE1"/>
    <w:rsid w:val="00184133"/>
    <w:rsid w:val="001D4F3A"/>
    <w:rsid w:val="0025038D"/>
    <w:rsid w:val="002D6889"/>
    <w:rsid w:val="002E49BA"/>
    <w:rsid w:val="00354859"/>
    <w:rsid w:val="003865A7"/>
    <w:rsid w:val="00403B72"/>
    <w:rsid w:val="00410D98"/>
    <w:rsid w:val="00413194"/>
    <w:rsid w:val="0043667F"/>
    <w:rsid w:val="004B2321"/>
    <w:rsid w:val="004B792C"/>
    <w:rsid w:val="0050779C"/>
    <w:rsid w:val="00681D45"/>
    <w:rsid w:val="00767042"/>
    <w:rsid w:val="007F2CB8"/>
    <w:rsid w:val="00800C77"/>
    <w:rsid w:val="00814DFD"/>
    <w:rsid w:val="00832F64"/>
    <w:rsid w:val="008502F8"/>
    <w:rsid w:val="00856BDB"/>
    <w:rsid w:val="00861C74"/>
    <w:rsid w:val="009040CB"/>
    <w:rsid w:val="00906015"/>
    <w:rsid w:val="0091039C"/>
    <w:rsid w:val="00987D6C"/>
    <w:rsid w:val="009D32F5"/>
    <w:rsid w:val="009E2641"/>
    <w:rsid w:val="00A030ED"/>
    <w:rsid w:val="00A76867"/>
    <w:rsid w:val="00AC72FD"/>
    <w:rsid w:val="00AD3004"/>
    <w:rsid w:val="00AD4FBB"/>
    <w:rsid w:val="00B44DC5"/>
    <w:rsid w:val="00BE34D2"/>
    <w:rsid w:val="00CA7EEA"/>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33662B"/>
  <w14:defaultImageDpi w14:val="300"/>
  <w15:docId w15:val="{A582CD27-FFB1-4D09-8F97-5237B3F9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50779C"/>
    <w:pPr>
      <w:ind w:left="720"/>
      <w:contextualSpacing/>
    </w:pPr>
    <w:rPr>
      <w:rFonts w:ascii="Cambria" w:eastAsia="Times New Roman"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12586-AC3B-4D4D-B08F-47211C15D0C7}">
  <ds:schemaRefs>
    <ds:schemaRef ds:uri="http://schemas.openxmlformats.org/officeDocument/2006/bibliography"/>
  </ds:schemaRefs>
</ds:datastoreItem>
</file>

<file path=customXml/itemProps2.xml><?xml version="1.0" encoding="utf-8"?>
<ds:datastoreItem xmlns:ds="http://schemas.openxmlformats.org/officeDocument/2006/customXml" ds:itemID="{5B7C4A7E-F42A-40BF-909B-BA7C046EB434}"/>
</file>

<file path=customXml/itemProps3.xml><?xml version="1.0" encoding="utf-8"?>
<ds:datastoreItem xmlns:ds="http://schemas.openxmlformats.org/officeDocument/2006/customXml" ds:itemID="{C4B66BD7-7718-43F2-84DE-8E3E7BA77D86}"/>
</file>

<file path=customXml/itemProps4.xml><?xml version="1.0" encoding="utf-8"?>
<ds:datastoreItem xmlns:ds="http://schemas.openxmlformats.org/officeDocument/2006/customXml" ds:itemID="{594915F1-5FC4-43DB-A688-E27B376502EC}"/>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5</cp:revision>
  <dcterms:created xsi:type="dcterms:W3CDTF">2019-03-27T13:04:00Z</dcterms:created>
  <dcterms:modified xsi:type="dcterms:W3CDTF">2022-12-01T15:27:00Z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