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bookmarkStart w:id="0" w:name="_GoBack"/>
      <w:bookmarkEnd w:id="0"/>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D37D8B" w:rsidRDefault="00354859" w:rsidP="00E94EE5">
            <w:pPr>
              <w:rPr>
                <w:rFonts w:cs="Arial"/>
                <w:sz w:val="22"/>
                <w:szCs w:val="22"/>
              </w:rPr>
            </w:pPr>
            <w:r w:rsidRPr="00D37D8B">
              <w:rPr>
                <w:rFonts w:cs="Arial"/>
                <w:sz w:val="22"/>
                <w:szCs w:val="22"/>
              </w:rPr>
              <w:t>F</w:t>
            </w:r>
            <w:r w:rsidR="001C2F25">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D37D8B" w:rsidRDefault="007C0345" w:rsidP="000643A2">
            <w:pPr>
              <w:rPr>
                <w:rFonts w:cs="Arial"/>
                <w:sz w:val="22"/>
                <w:szCs w:val="22"/>
              </w:rPr>
            </w:pPr>
            <w:r>
              <w:rPr>
                <w:rFonts w:cs="Arial"/>
                <w:sz w:val="22"/>
                <w:szCs w:val="22"/>
              </w:rPr>
              <w:t>Radiology</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800C77" w:rsidRPr="00457BD3" w:rsidRDefault="00457BD3" w:rsidP="000414AA">
            <w:pPr>
              <w:jc w:val="both"/>
              <w:rPr>
                <w:sz w:val="22"/>
                <w:szCs w:val="22"/>
              </w:rPr>
            </w:pPr>
            <w:r w:rsidRPr="00457BD3">
              <w:rPr>
                <w:sz w:val="22"/>
                <w:szCs w:val="22"/>
              </w:rPr>
              <w:t>Clincal R</w:t>
            </w:r>
            <w:r>
              <w:rPr>
                <w:sz w:val="22"/>
                <w:szCs w:val="22"/>
              </w:rPr>
              <w:t>adiology, HUTH.</w:t>
            </w: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800C77" w:rsidRPr="00457BD3" w:rsidRDefault="00457BD3" w:rsidP="00457BD3">
            <w:pPr>
              <w:jc w:val="both"/>
              <w:rPr>
                <w:sz w:val="22"/>
                <w:szCs w:val="22"/>
              </w:rPr>
            </w:pPr>
            <w:r>
              <w:rPr>
                <w:sz w:val="22"/>
                <w:szCs w:val="22"/>
              </w:rPr>
              <w:t>Dominantly, located in vascular interventional radiology. Exposure to, and participation in, busy, vascular radiology department. Daily MDT. Exposure to consent, image interpretation, image guided treatment of all vascular presentations including stroke thrombectomy, aortic, peripheral vascular, haemorrhage control, image guided venous access. Options for Non vascular Interventional sessions 1-2/week. Time in CT/USS.</w:t>
            </w:r>
            <w:r w:rsidR="001F06FB">
              <w:rPr>
                <w:sz w:val="22"/>
                <w:szCs w:val="22"/>
              </w:rPr>
              <w:t xml:space="preserve"> Flexibility.</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D37D8B" w:rsidRDefault="00457BD3" w:rsidP="000643A2">
            <w:pPr>
              <w:jc w:val="both"/>
              <w:rPr>
                <w:rFonts w:cs="Arial"/>
                <w:sz w:val="22"/>
                <w:szCs w:val="22"/>
              </w:rPr>
            </w:pPr>
            <w:r>
              <w:rPr>
                <w:rFonts w:cs="Arial"/>
                <w:sz w:val="22"/>
                <w:szCs w:val="22"/>
              </w:rPr>
              <w:t>Principally HRI site of HUTH. Limited optional CHH component.</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D37D8B" w:rsidRDefault="00457BD3" w:rsidP="00E94EE5">
            <w:pPr>
              <w:jc w:val="both"/>
              <w:rPr>
                <w:sz w:val="22"/>
                <w:szCs w:val="22"/>
              </w:rPr>
            </w:pPr>
            <w:r>
              <w:rPr>
                <w:sz w:val="22"/>
                <w:szCs w:val="22"/>
              </w:rPr>
              <w:t>Dr Paul Scott, Consultant Interventional Radiologist</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0643A2" w:rsidRPr="00457BD3" w:rsidRDefault="00457BD3" w:rsidP="00AB1858">
            <w:pPr>
              <w:jc w:val="both"/>
              <w:rPr>
                <w:rFonts w:cs="Arial"/>
                <w:sz w:val="22"/>
                <w:szCs w:val="22"/>
              </w:rPr>
            </w:pPr>
            <w:r w:rsidRPr="00457BD3">
              <w:rPr>
                <w:rFonts w:cs="Arial"/>
                <w:sz w:val="22"/>
                <w:szCs w:val="22"/>
              </w:rPr>
              <w:t xml:space="preserve">Prepping IR </w:t>
            </w:r>
            <w:r w:rsidR="001F06FB" w:rsidRPr="00457BD3">
              <w:rPr>
                <w:rFonts w:cs="Arial"/>
                <w:sz w:val="22"/>
                <w:szCs w:val="22"/>
              </w:rPr>
              <w:t>patients</w:t>
            </w:r>
            <w:r w:rsidRPr="00457BD3">
              <w:rPr>
                <w:rFonts w:cs="Arial"/>
                <w:sz w:val="22"/>
                <w:szCs w:val="22"/>
              </w:rPr>
              <w:t xml:space="preserve">. Consent. Participation in IR procedures, </w:t>
            </w:r>
            <w:r>
              <w:rPr>
                <w:rFonts w:cs="Arial"/>
                <w:sz w:val="22"/>
                <w:szCs w:val="22"/>
              </w:rPr>
              <w:t>d</w:t>
            </w:r>
            <w:r w:rsidRPr="00457BD3">
              <w:rPr>
                <w:rFonts w:cs="Arial"/>
                <w:sz w:val="22"/>
                <w:szCs w:val="22"/>
              </w:rPr>
              <w:t>evelopment of radiology interpretation and procedural wire/catheter/uss guiding skills. Rich learning scope from Daily MDT and weekly “big” MDT.</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D37D8B" w:rsidRPr="00D37D8B" w:rsidRDefault="00457BD3" w:rsidP="00814DFD">
            <w:pPr>
              <w:rPr>
                <w:rFonts w:cs="Arial"/>
                <w:sz w:val="22"/>
                <w:szCs w:val="22"/>
              </w:rPr>
            </w:pPr>
            <w:r>
              <w:rPr>
                <w:rFonts w:cs="Arial"/>
                <w:sz w:val="22"/>
                <w:szCs w:val="22"/>
              </w:rPr>
              <w:t>4-5/days week. Daily 0800 MDT is virtual. Friday big MDT also virtual. No on call (option to shadow). Occupant can shape elements in collaboration with ES/CS</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D37D8B" w:rsidRDefault="00354859" w:rsidP="00EE7176">
            <w:pPr>
              <w:widowControl w:val="0"/>
              <w:rPr>
                <w:rFonts w:cs="Arial"/>
                <w:sz w:val="22"/>
                <w:szCs w:val="22"/>
              </w:rPr>
            </w:pPr>
            <w:r w:rsidRPr="00D37D8B">
              <w:rPr>
                <w:rFonts w:cs="Arial"/>
                <w:sz w:val="22"/>
                <w:szCs w:val="22"/>
              </w:rPr>
              <w:t xml:space="preserve">Hull </w:t>
            </w:r>
            <w:r w:rsidR="00F17C78" w:rsidRPr="00D37D8B">
              <w:rPr>
                <w:rFonts w:cs="Arial"/>
                <w:sz w:val="22"/>
                <w:szCs w:val="22"/>
              </w:rPr>
              <w:t>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41" w:rsidRDefault="00500D41" w:rsidP="00AC72FD">
      <w:r>
        <w:separator/>
      </w:r>
    </w:p>
  </w:endnote>
  <w:endnote w:type="continuationSeparator" w:id="0">
    <w:p w:rsidR="00500D41" w:rsidRDefault="00500D4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368E9">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41" w:rsidRDefault="00500D41" w:rsidP="00AC72FD">
      <w:r>
        <w:separator/>
      </w:r>
    </w:p>
  </w:footnote>
  <w:footnote w:type="continuationSeparator" w:id="0">
    <w:p w:rsidR="00500D41" w:rsidRDefault="00500D4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10634"/>
    <w:multiLevelType w:val="hybridMultilevel"/>
    <w:tmpl w:val="AEAEC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414AA"/>
    <w:rsid w:val="000643A2"/>
    <w:rsid w:val="000C7C00"/>
    <w:rsid w:val="00163DE1"/>
    <w:rsid w:val="00184133"/>
    <w:rsid w:val="001C2F25"/>
    <w:rsid w:val="001D4F3A"/>
    <w:rsid w:val="001F06FB"/>
    <w:rsid w:val="002368E9"/>
    <w:rsid w:val="0025038D"/>
    <w:rsid w:val="002D6889"/>
    <w:rsid w:val="002E49BA"/>
    <w:rsid w:val="00354859"/>
    <w:rsid w:val="00403B72"/>
    <w:rsid w:val="00410D98"/>
    <w:rsid w:val="00413194"/>
    <w:rsid w:val="0043667F"/>
    <w:rsid w:val="00457BD3"/>
    <w:rsid w:val="004B2321"/>
    <w:rsid w:val="00500D41"/>
    <w:rsid w:val="00681D45"/>
    <w:rsid w:val="00767042"/>
    <w:rsid w:val="007C0345"/>
    <w:rsid w:val="007F2CB8"/>
    <w:rsid w:val="00800C77"/>
    <w:rsid w:val="00814DFD"/>
    <w:rsid w:val="00832F64"/>
    <w:rsid w:val="008502F8"/>
    <w:rsid w:val="00861C74"/>
    <w:rsid w:val="009040CB"/>
    <w:rsid w:val="00906015"/>
    <w:rsid w:val="0091039C"/>
    <w:rsid w:val="009D32F5"/>
    <w:rsid w:val="009E2641"/>
    <w:rsid w:val="00A030ED"/>
    <w:rsid w:val="00A76867"/>
    <w:rsid w:val="00AB1858"/>
    <w:rsid w:val="00AC72FD"/>
    <w:rsid w:val="00AD3004"/>
    <w:rsid w:val="00B44DC5"/>
    <w:rsid w:val="00BE34D2"/>
    <w:rsid w:val="00CA7EEA"/>
    <w:rsid w:val="00D37D8B"/>
    <w:rsid w:val="00DA527C"/>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6659B0F-0A93-4720-AFEB-2FC1CAE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4FA14-1E7B-4B02-997F-C50604EC446A}">
  <ds:schemaRefs>
    <ds:schemaRef ds:uri="http://schemas.openxmlformats.org/officeDocument/2006/bibliography"/>
  </ds:schemaRefs>
</ds:datastoreItem>
</file>

<file path=customXml/itemProps2.xml><?xml version="1.0" encoding="utf-8"?>
<ds:datastoreItem xmlns:ds="http://schemas.openxmlformats.org/officeDocument/2006/customXml" ds:itemID="{B6AF3DCB-91C7-481A-8EB1-460BD0C62D9A}"/>
</file>

<file path=customXml/itemProps3.xml><?xml version="1.0" encoding="utf-8"?>
<ds:datastoreItem xmlns:ds="http://schemas.openxmlformats.org/officeDocument/2006/customXml" ds:itemID="{9A07A8DB-CC4C-4B33-B684-50A51E06D2F8}"/>
</file>

<file path=customXml/itemProps4.xml><?xml version="1.0" encoding="utf-8"?>
<ds:datastoreItem xmlns:ds="http://schemas.openxmlformats.org/officeDocument/2006/customXml" ds:itemID="{50C4BF5B-DBBA-4D54-A87B-68FA5EA1FE00}"/>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TotalTime>
  <Pages>1</Pages>
  <Words>211</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Luke</dc:creator>
  <cp:lastModifiedBy>ROGERS, Carole (HULL UNIVERSITY TEACHING HOSPITALS NHS TRUST)</cp:lastModifiedBy>
  <cp:revision>2</cp:revision>
  <dcterms:created xsi:type="dcterms:W3CDTF">2022-12-21T08:55:00Z</dcterms:created>
  <dcterms:modified xsi:type="dcterms:W3CDTF">2022-12-21T08:55:00Z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