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75" w:rsidRDefault="00B31AD8" w:rsidP="00B31AD8">
      <w:pPr>
        <w:spacing w:after="0" w:line="240" w:lineRule="auto"/>
        <w:jc w:val="center"/>
        <w:rPr>
          <w:b/>
          <w:color w:val="1F497D" w:themeColor="text2"/>
          <w:sz w:val="28"/>
          <w:szCs w:val="32"/>
        </w:rPr>
      </w:pPr>
      <w:r>
        <w:rPr>
          <w:b/>
          <w:noProof/>
          <w:color w:val="1F497D" w:themeColor="text2"/>
          <w:sz w:val="28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62F5E1F" wp14:editId="623A8A20">
            <wp:simplePos x="0" y="0"/>
            <wp:positionH relativeFrom="column">
              <wp:posOffset>3867150</wp:posOffset>
            </wp:positionH>
            <wp:positionV relativeFrom="paragraph">
              <wp:posOffset>-574675</wp:posOffset>
            </wp:positionV>
            <wp:extent cx="2563495" cy="505460"/>
            <wp:effectExtent l="0" t="0" r="825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B13" w:rsidRPr="00462A6A">
        <w:rPr>
          <w:b/>
          <w:color w:val="1F497D" w:themeColor="text2"/>
          <w:sz w:val="28"/>
          <w:szCs w:val="32"/>
        </w:rPr>
        <w:t>Rewarding Excellence</w:t>
      </w:r>
    </w:p>
    <w:p w:rsidR="00E2240F" w:rsidRPr="00462A6A" w:rsidRDefault="00032975" w:rsidP="00462A6A">
      <w:pPr>
        <w:spacing w:after="0" w:line="240" w:lineRule="auto"/>
        <w:jc w:val="center"/>
        <w:rPr>
          <w:sz w:val="20"/>
        </w:rPr>
      </w:pPr>
      <w:proofErr w:type="gramStart"/>
      <w:r>
        <w:rPr>
          <w:b/>
          <w:color w:val="1F497D" w:themeColor="text2"/>
          <w:sz w:val="28"/>
          <w:szCs w:val="32"/>
        </w:rPr>
        <w:t>A B</w:t>
      </w:r>
      <w:r w:rsidR="006B1C4D" w:rsidRPr="00462A6A">
        <w:rPr>
          <w:b/>
          <w:color w:val="1F497D" w:themeColor="text2"/>
          <w:sz w:val="28"/>
          <w:szCs w:val="32"/>
        </w:rPr>
        <w:t xml:space="preserve">ursary </w:t>
      </w:r>
      <w:r w:rsidR="00823C51" w:rsidRPr="00462A6A">
        <w:rPr>
          <w:b/>
          <w:color w:val="1F497D" w:themeColor="text2"/>
          <w:sz w:val="28"/>
          <w:szCs w:val="32"/>
        </w:rPr>
        <w:t>s</w:t>
      </w:r>
      <w:r w:rsidR="006B1C4D" w:rsidRPr="00462A6A">
        <w:rPr>
          <w:b/>
          <w:color w:val="1F497D" w:themeColor="text2"/>
          <w:sz w:val="28"/>
          <w:szCs w:val="32"/>
        </w:rPr>
        <w:t xml:space="preserve">cheme for </w:t>
      </w:r>
      <w:r w:rsidR="00137B13" w:rsidRPr="00462A6A">
        <w:rPr>
          <w:b/>
          <w:color w:val="1F497D" w:themeColor="text2"/>
          <w:sz w:val="28"/>
          <w:szCs w:val="32"/>
        </w:rPr>
        <w:t>Specialty T</w:t>
      </w:r>
      <w:r w:rsidR="00462A6A">
        <w:rPr>
          <w:b/>
          <w:color w:val="1F497D" w:themeColor="text2"/>
          <w:sz w:val="28"/>
          <w:szCs w:val="32"/>
        </w:rPr>
        <w:t>rainees</w:t>
      </w:r>
      <w:r w:rsidR="00165D01">
        <w:rPr>
          <w:b/>
          <w:color w:val="1F497D" w:themeColor="text2"/>
          <w:sz w:val="28"/>
          <w:szCs w:val="32"/>
        </w:rPr>
        <w:t xml:space="preserve"> </w:t>
      </w:r>
      <w:r w:rsidR="000422E2">
        <w:rPr>
          <w:b/>
          <w:color w:val="1F497D" w:themeColor="text2"/>
          <w:sz w:val="28"/>
          <w:szCs w:val="32"/>
        </w:rPr>
        <w:t>in</w:t>
      </w:r>
      <w:r w:rsidR="00137B13" w:rsidRPr="00462A6A">
        <w:rPr>
          <w:b/>
          <w:color w:val="1F497D" w:themeColor="text2"/>
          <w:sz w:val="28"/>
          <w:szCs w:val="32"/>
        </w:rPr>
        <w:t xml:space="preserve"> Obstetrics and Gynaecology.</w:t>
      </w:r>
      <w:proofErr w:type="gramEnd"/>
    </w:p>
    <w:p w:rsidR="00462A6A" w:rsidRPr="000A3F41" w:rsidRDefault="00462A6A" w:rsidP="00462A6A">
      <w:pPr>
        <w:spacing w:after="0" w:line="240" w:lineRule="auto"/>
        <w:jc w:val="center"/>
      </w:pPr>
    </w:p>
    <w:p w:rsidR="00D16BD5" w:rsidRPr="007645A8" w:rsidRDefault="00823C51" w:rsidP="00462A6A">
      <w:pPr>
        <w:spacing w:after="0" w:line="240" w:lineRule="auto"/>
      </w:pPr>
      <w:r w:rsidRPr="007645A8">
        <w:t>Th</w:t>
      </w:r>
      <w:r w:rsidR="00C12397">
        <w:t xml:space="preserve">is </w:t>
      </w:r>
      <w:r w:rsidRPr="007645A8">
        <w:t>scheme provides a</w:t>
      </w:r>
      <w:r w:rsidR="00EC216D">
        <w:t>n</w:t>
      </w:r>
      <w:r w:rsidRPr="007645A8">
        <w:t xml:space="preserve"> oppo</w:t>
      </w:r>
      <w:r w:rsidR="007645A8" w:rsidRPr="007645A8">
        <w:t xml:space="preserve">rtunity to </w:t>
      </w:r>
      <w:r w:rsidR="00C12397">
        <w:t xml:space="preserve">apply </w:t>
      </w:r>
      <w:r w:rsidR="007645A8" w:rsidRPr="007645A8">
        <w:t xml:space="preserve">for a financial </w:t>
      </w:r>
      <w:r w:rsidRPr="007645A8">
        <w:t xml:space="preserve">award </w:t>
      </w:r>
      <w:r w:rsidR="007645A8" w:rsidRPr="007645A8">
        <w:t xml:space="preserve">to support personal and professional development. </w:t>
      </w:r>
      <w:r w:rsidR="00E2240F" w:rsidRPr="000A3F41">
        <w:t>Below is important</w:t>
      </w:r>
      <w:r w:rsidR="00C12397">
        <w:t xml:space="preserve"> </w:t>
      </w:r>
      <w:r w:rsidR="00E5542A">
        <w:t xml:space="preserve">information </w:t>
      </w:r>
      <w:r w:rsidR="00C12397">
        <w:t>about the eligibility criteria a</w:t>
      </w:r>
      <w:r w:rsidR="00EC216D">
        <w:t>n</w:t>
      </w:r>
      <w:r w:rsidR="00C12397">
        <w:t xml:space="preserve">d application process. </w:t>
      </w:r>
      <w:r w:rsidR="00E2240F" w:rsidRPr="000A3F41">
        <w:t xml:space="preserve">Please ensure that you read the information carefully </w:t>
      </w:r>
      <w:r w:rsidR="007645A8">
        <w:t xml:space="preserve">prior to application. </w:t>
      </w:r>
    </w:p>
    <w:p w:rsidR="00DE09EE" w:rsidRDefault="00DE09EE" w:rsidP="00462A6A">
      <w:pPr>
        <w:spacing w:after="0" w:line="240" w:lineRule="auto"/>
      </w:pPr>
    </w:p>
    <w:p w:rsidR="00E2240F" w:rsidRPr="00817EA8" w:rsidRDefault="00E2240F" w:rsidP="00462A6A">
      <w:pPr>
        <w:pStyle w:val="NormalWeb"/>
        <w:spacing w:before="0" w:after="0"/>
        <w:textAlignment w:val="top"/>
        <w:rPr>
          <w:rStyle w:val="Strong"/>
          <w:rFonts w:ascii="Calibri" w:hAnsi="Calibri" w:cs="Calibri"/>
          <w:color w:val="000000"/>
          <w:szCs w:val="22"/>
          <w:lang w:val="en"/>
        </w:rPr>
      </w:pPr>
      <w:r w:rsidRPr="00817EA8">
        <w:rPr>
          <w:rStyle w:val="Strong"/>
          <w:rFonts w:ascii="Calibri" w:hAnsi="Calibri" w:cs="Calibri"/>
          <w:color w:val="000000"/>
          <w:szCs w:val="22"/>
          <w:lang w:val="en"/>
        </w:rPr>
        <w:t>Intended purpose of bursaries</w:t>
      </w:r>
    </w:p>
    <w:p w:rsidR="00F05225" w:rsidRDefault="00DE09EE" w:rsidP="009F115C">
      <w:pPr>
        <w:pStyle w:val="NormalWeb"/>
        <w:spacing w:before="0" w:after="0"/>
        <w:textAlignment w:val="top"/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The bursary </w:t>
      </w:r>
      <w:r w:rsidR="0099354B">
        <w:rPr>
          <w:rFonts w:ascii="Calibri" w:hAnsi="Calibri" w:cs="Calibri"/>
          <w:color w:val="000000"/>
          <w:sz w:val="22"/>
          <w:szCs w:val="22"/>
          <w:lang w:val="en"/>
        </w:rPr>
        <w:t>scheme</w:t>
      </w:r>
      <w:r w:rsidR="0099354B" w:rsidRPr="00BF16BC">
        <w:rPr>
          <w:rFonts w:ascii="Calibri" w:hAnsi="Calibri" w:cs="Calibri"/>
          <w:color w:val="000000"/>
          <w:sz w:val="22"/>
          <w:szCs w:val="22"/>
          <w:lang w:val="en"/>
        </w:rPr>
        <w:t xml:space="preserve"> offers</w:t>
      </w:r>
      <w:r w:rsidR="00E2240F" w:rsidRPr="00BF16BC"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="0001503B" w:rsidRPr="00BF16BC">
        <w:rPr>
          <w:rFonts w:ascii="Calibri" w:hAnsi="Calibri" w:cs="Calibri"/>
          <w:color w:val="000000"/>
          <w:sz w:val="22"/>
          <w:szCs w:val="22"/>
          <w:lang w:val="en"/>
        </w:rPr>
        <w:t>grants</w:t>
      </w:r>
      <w:r w:rsidR="00E2240F" w:rsidRPr="00BF16BC"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="0001503B">
        <w:rPr>
          <w:rFonts w:ascii="Calibri" w:hAnsi="Calibri" w:cs="Calibri"/>
          <w:color w:val="000000"/>
          <w:sz w:val="22"/>
          <w:szCs w:val="22"/>
          <w:lang w:val="en"/>
        </w:rPr>
        <w:t xml:space="preserve">to </w:t>
      </w:r>
      <w:r w:rsidR="00F05225">
        <w:rPr>
          <w:rFonts w:ascii="Calibri" w:hAnsi="Calibri" w:cs="Calibri"/>
          <w:color w:val="000000"/>
          <w:sz w:val="22"/>
          <w:szCs w:val="22"/>
          <w:lang w:val="en"/>
        </w:rPr>
        <w:t>Specialty</w:t>
      </w:r>
      <w:r w:rsidR="0001503B">
        <w:rPr>
          <w:rFonts w:ascii="Calibri" w:hAnsi="Calibri" w:cs="Calibri"/>
          <w:color w:val="000000"/>
          <w:sz w:val="22"/>
          <w:szCs w:val="22"/>
          <w:lang w:val="en"/>
        </w:rPr>
        <w:t xml:space="preserve"> Trainees under </w:t>
      </w:r>
      <w:r w:rsidR="00C12397">
        <w:rPr>
          <w:rFonts w:ascii="Calibri" w:hAnsi="Calibri" w:cs="Calibri"/>
          <w:color w:val="000000"/>
          <w:sz w:val="22"/>
          <w:szCs w:val="22"/>
          <w:lang w:val="en"/>
        </w:rPr>
        <w:t>three headings:</w:t>
      </w:r>
    </w:p>
    <w:p w:rsidR="0001503B" w:rsidRDefault="00FD11D0" w:rsidP="00462A6A">
      <w:pPr>
        <w:pStyle w:val="NormalWeb"/>
        <w:numPr>
          <w:ilvl w:val="1"/>
          <w:numId w:val="6"/>
        </w:numPr>
        <w:spacing w:before="0" w:after="0"/>
        <w:textAlignment w:val="top"/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Presentation at </w:t>
      </w:r>
      <w:r w:rsidR="00F05225">
        <w:rPr>
          <w:rFonts w:ascii="Calibri" w:hAnsi="Calibri" w:cs="Calibri"/>
          <w:color w:val="000000"/>
          <w:sz w:val="22"/>
          <w:szCs w:val="22"/>
          <w:lang w:val="en"/>
        </w:rPr>
        <w:t xml:space="preserve">Meetings – National or International. </w:t>
      </w:r>
    </w:p>
    <w:p w:rsidR="00F05225" w:rsidRDefault="00F05225" w:rsidP="00462A6A">
      <w:pPr>
        <w:pStyle w:val="NormalWeb"/>
        <w:numPr>
          <w:ilvl w:val="1"/>
          <w:numId w:val="6"/>
        </w:numPr>
        <w:spacing w:before="0" w:after="0"/>
        <w:textAlignment w:val="top"/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Postgraduate Certificates &amp; Diplomas</w:t>
      </w:r>
    </w:p>
    <w:p w:rsidR="00F05225" w:rsidRDefault="00032975" w:rsidP="00462A6A">
      <w:pPr>
        <w:pStyle w:val="NormalWeb"/>
        <w:numPr>
          <w:ilvl w:val="1"/>
          <w:numId w:val="6"/>
        </w:numPr>
        <w:spacing w:before="0" w:after="0"/>
        <w:textAlignment w:val="top"/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Special Skills Courses </w:t>
      </w:r>
      <w:r w:rsidR="009C3F8B">
        <w:rPr>
          <w:rFonts w:ascii="Calibri" w:hAnsi="Calibri" w:cs="Calibri"/>
          <w:color w:val="000000"/>
          <w:sz w:val="22"/>
          <w:szCs w:val="22"/>
          <w:lang w:val="en"/>
        </w:rPr>
        <w:t>or Training</w:t>
      </w:r>
    </w:p>
    <w:p w:rsidR="000A3F41" w:rsidRDefault="0033384A" w:rsidP="00462A6A">
      <w:pPr>
        <w:pStyle w:val="NormalWeb"/>
        <w:spacing w:before="0" w:after="0"/>
        <w:textAlignment w:val="top"/>
        <w:rPr>
          <w:rFonts w:ascii="Calibri" w:hAnsi="Calibri" w:cs="Calibri"/>
          <w:color w:val="000000"/>
          <w:sz w:val="22"/>
          <w:szCs w:val="22"/>
          <w:lang w:val="en"/>
        </w:rPr>
      </w:pPr>
      <w:r w:rsidRPr="00BF16BC">
        <w:rPr>
          <w:rFonts w:ascii="Calibri" w:hAnsi="Calibri" w:cs="Calibri"/>
          <w:color w:val="000000"/>
          <w:sz w:val="22"/>
          <w:szCs w:val="22"/>
          <w:lang w:val="en"/>
        </w:rPr>
        <w:t xml:space="preserve">The emphasis when allocating bursaries is on enhancing professional development opportunities and, as such, emphasis will be placed on how </w:t>
      </w:r>
      <w:r w:rsidR="002D7020">
        <w:rPr>
          <w:rFonts w:ascii="Calibri" w:hAnsi="Calibri" w:cs="Calibri"/>
          <w:color w:val="000000"/>
          <w:sz w:val="22"/>
          <w:szCs w:val="22"/>
          <w:lang w:val="en"/>
        </w:rPr>
        <w:t xml:space="preserve">participation </w:t>
      </w:r>
      <w:r w:rsidR="002D7020" w:rsidRPr="00BF16BC">
        <w:rPr>
          <w:rFonts w:ascii="Calibri" w:hAnsi="Calibri" w:cs="Calibri"/>
          <w:color w:val="000000"/>
          <w:sz w:val="22"/>
          <w:szCs w:val="22"/>
          <w:lang w:val="en"/>
        </w:rPr>
        <w:t>contributes</w:t>
      </w:r>
      <w:r w:rsidRPr="00BF16BC">
        <w:rPr>
          <w:rFonts w:ascii="Calibri" w:hAnsi="Calibri" w:cs="Calibri"/>
          <w:color w:val="000000"/>
          <w:sz w:val="22"/>
          <w:szCs w:val="22"/>
          <w:lang w:val="en"/>
        </w:rPr>
        <w:t xml:space="preserve"> to </w:t>
      </w:r>
      <w:r w:rsidR="00C12397">
        <w:rPr>
          <w:rFonts w:ascii="Calibri" w:hAnsi="Calibri" w:cs="Calibri"/>
          <w:color w:val="000000"/>
          <w:sz w:val="22"/>
          <w:szCs w:val="22"/>
          <w:lang w:val="en"/>
        </w:rPr>
        <w:t xml:space="preserve">personal </w:t>
      </w:r>
      <w:r w:rsidRPr="00BF16BC">
        <w:rPr>
          <w:rFonts w:ascii="Calibri" w:hAnsi="Calibri" w:cs="Calibri"/>
          <w:color w:val="000000"/>
          <w:sz w:val="22"/>
          <w:szCs w:val="22"/>
          <w:lang w:val="en"/>
        </w:rPr>
        <w:t>development</w:t>
      </w:r>
      <w:r w:rsidR="00C12397"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Pr="00BF16BC">
        <w:rPr>
          <w:rFonts w:ascii="Calibri" w:hAnsi="Calibri" w:cs="Calibri"/>
          <w:color w:val="000000"/>
          <w:sz w:val="22"/>
          <w:szCs w:val="22"/>
          <w:lang w:val="en"/>
        </w:rPr>
        <w:t xml:space="preserve">rather than the qualification attained on completion. </w:t>
      </w:r>
    </w:p>
    <w:p w:rsidR="00462A6A" w:rsidRPr="00462A6A" w:rsidRDefault="00462A6A" w:rsidP="00462A6A">
      <w:pPr>
        <w:pStyle w:val="NormalWeb"/>
        <w:spacing w:before="0" w:after="0"/>
        <w:textAlignment w:val="top"/>
        <w:rPr>
          <w:rFonts w:ascii="Calibri" w:hAnsi="Calibri" w:cs="Calibri"/>
          <w:color w:val="000000"/>
          <w:sz w:val="22"/>
          <w:szCs w:val="22"/>
          <w:lang w:val="en"/>
        </w:rPr>
      </w:pPr>
    </w:p>
    <w:p w:rsidR="00817EA8" w:rsidRPr="000A3F41" w:rsidRDefault="00363092" w:rsidP="00462A6A">
      <w:pPr>
        <w:spacing w:after="0" w:line="240" w:lineRule="auto"/>
        <w:rPr>
          <w:b/>
          <w:sz w:val="24"/>
        </w:rPr>
      </w:pPr>
      <w:r w:rsidRPr="00817EA8">
        <w:rPr>
          <w:b/>
          <w:sz w:val="24"/>
        </w:rPr>
        <w:t>Eligibility</w:t>
      </w:r>
    </w:p>
    <w:p w:rsidR="00EC216D" w:rsidRDefault="00C12397" w:rsidP="00C12397">
      <w:pPr>
        <w:spacing w:after="0" w:line="240" w:lineRule="auto"/>
      </w:pPr>
      <w:r>
        <w:t>All trainees in ST1-7 of the specialty training programme who expect to complete the course/training or attend the meeting before their CCT date</w:t>
      </w:r>
    </w:p>
    <w:p w:rsidR="00C12397" w:rsidRDefault="00EC216D" w:rsidP="00C12397">
      <w:pPr>
        <w:spacing w:after="0" w:line="240" w:lineRule="auto"/>
      </w:pPr>
      <w:r>
        <w:t>The learning experience can be within the last 6 mo</w:t>
      </w:r>
      <w:r w:rsidR="00E5542A">
        <w:t>n</w:t>
      </w:r>
      <w:r>
        <w:t>ths or planned during the next 3 months</w:t>
      </w:r>
      <w:r w:rsidR="00C12397">
        <w:t xml:space="preserve"> </w:t>
      </w:r>
    </w:p>
    <w:p w:rsidR="00363092" w:rsidRDefault="00F05225" w:rsidP="00462A6A">
      <w:pPr>
        <w:spacing w:after="0" w:line="240" w:lineRule="auto"/>
      </w:pPr>
      <w:r>
        <w:t xml:space="preserve">Each </w:t>
      </w:r>
      <w:r w:rsidR="002D7020">
        <w:t xml:space="preserve">category </w:t>
      </w:r>
      <w:r w:rsidR="00C12397">
        <w:t xml:space="preserve">may </w:t>
      </w:r>
      <w:r>
        <w:t xml:space="preserve">have its own application requirements but applicants </w:t>
      </w:r>
      <w:r w:rsidRPr="002D7020">
        <w:rPr>
          <w:b/>
          <w:i/>
        </w:rPr>
        <w:t>for all awards</w:t>
      </w:r>
      <w:r>
        <w:t xml:space="preserve"> must have received an ARCP </w:t>
      </w:r>
      <w:r w:rsidR="000422E2">
        <w:t xml:space="preserve">outcome </w:t>
      </w:r>
      <w:r>
        <w:t xml:space="preserve">1 at their last review. </w:t>
      </w:r>
    </w:p>
    <w:p w:rsidR="00B76747" w:rsidRDefault="00B76747" w:rsidP="00462A6A">
      <w:pPr>
        <w:spacing w:after="0" w:line="240" w:lineRule="auto"/>
      </w:pPr>
      <w:r>
        <w:t>Trainees can only apply for one award in each round of applications</w:t>
      </w:r>
    </w:p>
    <w:p w:rsidR="00D25AE1" w:rsidRDefault="00D25AE1" w:rsidP="00462A6A">
      <w:pPr>
        <w:spacing w:after="0" w:line="240" w:lineRule="auto"/>
      </w:pPr>
    </w:p>
    <w:p w:rsidR="00D25AE1" w:rsidRPr="00D25AE1" w:rsidRDefault="00D25AE1" w:rsidP="00462A6A">
      <w:pPr>
        <w:spacing w:after="0" w:line="240" w:lineRule="auto"/>
        <w:rPr>
          <w:b/>
          <w:sz w:val="24"/>
        </w:rPr>
      </w:pPr>
      <w:r w:rsidRPr="00D25AE1">
        <w:rPr>
          <w:b/>
          <w:sz w:val="24"/>
        </w:rPr>
        <w:t>Exclusions</w:t>
      </w:r>
    </w:p>
    <w:p w:rsidR="00D25AE1" w:rsidRDefault="00D25AE1" w:rsidP="00462A6A">
      <w:pPr>
        <w:spacing w:after="0" w:line="240" w:lineRule="auto"/>
      </w:pPr>
      <w:r>
        <w:t>Applications will not be accepted from the following groups:</w:t>
      </w:r>
    </w:p>
    <w:p w:rsidR="00D25AE1" w:rsidRDefault="00D25AE1" w:rsidP="00D25AE1">
      <w:pPr>
        <w:pStyle w:val="ListParagraph"/>
        <w:numPr>
          <w:ilvl w:val="0"/>
          <w:numId w:val="8"/>
        </w:numPr>
        <w:spacing w:after="0" w:line="240" w:lineRule="auto"/>
      </w:pPr>
      <w:r>
        <w:t>Trainees currently out of programme (OOPE</w:t>
      </w:r>
      <w:r w:rsidR="0099354B">
        <w:t xml:space="preserve">; OOPR). </w:t>
      </w:r>
      <w:r w:rsidR="00C12397">
        <w:t>Funding would usually c</w:t>
      </w:r>
      <w:r>
        <w:t xml:space="preserve">ome </w:t>
      </w:r>
      <w:r w:rsidR="00B76747">
        <w:t>from those sponsoring the out of</w:t>
      </w:r>
      <w:r>
        <w:t xml:space="preserve"> programme work</w:t>
      </w:r>
    </w:p>
    <w:p w:rsidR="00D25AE1" w:rsidRDefault="00D25AE1" w:rsidP="00D25AE1">
      <w:pPr>
        <w:pStyle w:val="ListParagraph"/>
        <w:numPr>
          <w:ilvl w:val="0"/>
          <w:numId w:val="8"/>
        </w:numPr>
        <w:spacing w:after="0" w:line="240" w:lineRule="auto"/>
      </w:pPr>
      <w:r>
        <w:t>Subspecialty trainees. Funding is available from HEE to support training</w:t>
      </w:r>
    </w:p>
    <w:p w:rsidR="00C12397" w:rsidRDefault="00D25AE1" w:rsidP="00D25AE1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Trainees who have completed or left the training programme </w:t>
      </w:r>
    </w:p>
    <w:p w:rsidR="009242EC" w:rsidRDefault="009242EC" w:rsidP="00462A6A">
      <w:pPr>
        <w:pStyle w:val="ListParagraph"/>
        <w:numPr>
          <w:ilvl w:val="0"/>
          <w:numId w:val="8"/>
        </w:numPr>
        <w:spacing w:after="0" w:line="240" w:lineRule="auto"/>
      </w:pPr>
      <w:r>
        <w:t>Applications for ATSM</w:t>
      </w:r>
      <w:r w:rsidR="00C12397">
        <w:t xml:space="preserve"> courses</w:t>
      </w:r>
    </w:p>
    <w:p w:rsidR="00363092" w:rsidRDefault="009242EC" w:rsidP="00462A6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Application for examinations or exam revision courses </w:t>
      </w:r>
    </w:p>
    <w:p w:rsidR="009242EC" w:rsidRDefault="009242EC" w:rsidP="009242EC">
      <w:pPr>
        <w:pStyle w:val="ListParagraph"/>
        <w:spacing w:after="0" w:line="240" w:lineRule="auto"/>
      </w:pPr>
    </w:p>
    <w:p w:rsidR="00817EA8" w:rsidRPr="000A3F41" w:rsidRDefault="00683E0C" w:rsidP="00462A6A">
      <w:pPr>
        <w:spacing w:after="0" w:line="240" w:lineRule="auto"/>
        <w:rPr>
          <w:b/>
          <w:sz w:val="24"/>
        </w:rPr>
      </w:pPr>
      <w:r w:rsidRPr="00817EA8">
        <w:rPr>
          <w:b/>
          <w:sz w:val="24"/>
        </w:rPr>
        <w:t>Application</w:t>
      </w:r>
    </w:p>
    <w:p w:rsidR="00EC216D" w:rsidRDefault="00032975" w:rsidP="00462A6A">
      <w:pPr>
        <w:pStyle w:val="PlainText"/>
      </w:pPr>
      <w:r w:rsidRPr="00D25AE1">
        <w:rPr>
          <w:b/>
        </w:rPr>
        <w:t>A</w:t>
      </w:r>
      <w:r w:rsidR="00987997" w:rsidRPr="00D25AE1">
        <w:rPr>
          <w:b/>
        </w:rPr>
        <w:t>pplications should be su</w:t>
      </w:r>
      <w:r w:rsidR="002979BA" w:rsidRPr="00D25AE1">
        <w:rPr>
          <w:b/>
        </w:rPr>
        <w:t xml:space="preserve">bmitted by </w:t>
      </w:r>
      <w:r w:rsidR="00916EAB">
        <w:rPr>
          <w:b/>
        </w:rPr>
        <w:t xml:space="preserve">Friday 10th </w:t>
      </w:r>
      <w:proofErr w:type="gramStart"/>
      <w:r w:rsidR="00916EAB">
        <w:rPr>
          <w:b/>
        </w:rPr>
        <w:t xml:space="preserve">February </w:t>
      </w:r>
      <w:r w:rsidR="00B76747">
        <w:rPr>
          <w:b/>
        </w:rPr>
        <w:t xml:space="preserve"> 202</w:t>
      </w:r>
      <w:r w:rsidR="00916EAB">
        <w:rPr>
          <w:b/>
        </w:rPr>
        <w:t>3</w:t>
      </w:r>
      <w:proofErr w:type="gramEnd"/>
      <w:r w:rsidR="002979BA">
        <w:t xml:space="preserve">. </w:t>
      </w:r>
    </w:p>
    <w:p w:rsidR="00987997" w:rsidRDefault="00FD11D0" w:rsidP="00462A6A">
      <w:pPr>
        <w:pStyle w:val="PlainText"/>
      </w:pPr>
      <w:r>
        <w:t>A</w:t>
      </w:r>
      <w:r w:rsidR="000422E2">
        <w:t>pplicants</w:t>
      </w:r>
      <w:r w:rsidR="002979BA">
        <w:t xml:space="preserve"> </w:t>
      </w:r>
      <w:r>
        <w:t xml:space="preserve">will be notified of the outcome </w:t>
      </w:r>
      <w:r w:rsidR="00916EAB">
        <w:t>by Monday 6th March 2023 and</w:t>
      </w:r>
      <w:r w:rsidR="00EC216D">
        <w:t xml:space="preserve"> must be claimed </w:t>
      </w:r>
      <w:r w:rsidR="00B76747">
        <w:t xml:space="preserve">within </w:t>
      </w:r>
      <w:r w:rsidR="00916EAB">
        <w:t>4 weeks</w:t>
      </w:r>
      <w:r>
        <w:t xml:space="preserve">. </w:t>
      </w:r>
      <w:r w:rsidR="00EC216D">
        <w:t xml:space="preserve"> </w:t>
      </w:r>
      <w:r w:rsidR="002979BA">
        <w:t>T</w:t>
      </w:r>
      <w:r w:rsidR="00987997">
        <w:t xml:space="preserve">here will be a further round of applications in </w:t>
      </w:r>
      <w:r w:rsidR="00916EAB">
        <w:t xml:space="preserve">June </w:t>
      </w:r>
      <w:r w:rsidR="00B76747">
        <w:t xml:space="preserve"> 202</w:t>
      </w:r>
      <w:r w:rsidR="00916EAB">
        <w:t>3</w:t>
      </w:r>
      <w:bookmarkStart w:id="0" w:name="_GoBack"/>
      <w:bookmarkEnd w:id="0"/>
    </w:p>
    <w:p w:rsidR="0098426D" w:rsidRDefault="0098426D" w:rsidP="00462A6A">
      <w:pPr>
        <w:spacing w:after="0" w:line="240" w:lineRule="auto"/>
      </w:pPr>
    </w:p>
    <w:p w:rsidR="00462A6A" w:rsidRDefault="000A3F41" w:rsidP="00462A6A">
      <w:pPr>
        <w:spacing w:after="0" w:line="240" w:lineRule="auto"/>
      </w:pPr>
      <w:r>
        <w:t xml:space="preserve">All </w:t>
      </w:r>
      <w:r w:rsidR="006555B3">
        <w:t>applications</w:t>
      </w:r>
      <w:r>
        <w:t xml:space="preserve"> </w:t>
      </w:r>
      <w:r w:rsidR="00FD11D0">
        <w:t xml:space="preserve">(or enquiries) </w:t>
      </w:r>
      <w:r>
        <w:t xml:space="preserve">should be submitted </w:t>
      </w:r>
      <w:r w:rsidR="00C93DCA">
        <w:t>to:</w:t>
      </w:r>
    </w:p>
    <w:p w:rsidR="00987997" w:rsidRDefault="006A6187" w:rsidP="00462A6A">
      <w:pPr>
        <w:spacing w:after="0" w:line="240" w:lineRule="auto"/>
      </w:pPr>
      <w:hyperlink r:id="rId10" w:history="1">
        <w:r w:rsidRPr="0080526F">
          <w:rPr>
            <w:rStyle w:val="Hyperlink"/>
          </w:rPr>
          <w:t>regionalteaching.yh@hee.nhs.uk</w:t>
        </w:r>
      </w:hyperlink>
    </w:p>
    <w:p w:rsidR="00B76747" w:rsidRDefault="00B76747" w:rsidP="00462A6A">
      <w:pPr>
        <w:spacing w:after="0" w:line="240" w:lineRule="auto"/>
      </w:pPr>
    </w:p>
    <w:p w:rsidR="00462A6A" w:rsidRDefault="00987997" w:rsidP="00462A6A">
      <w:pPr>
        <w:spacing w:after="0" w:line="240" w:lineRule="auto"/>
      </w:pPr>
      <w:r>
        <w:t>I</w:t>
      </w:r>
      <w:r w:rsidR="006555B3">
        <w:t xml:space="preserve">nformal </w:t>
      </w:r>
      <w:r w:rsidR="00D25AE1">
        <w:t>inquiries</w:t>
      </w:r>
      <w:r>
        <w:t xml:space="preserve"> can be made to the Director of Education: jayneshillito@nhs.net</w:t>
      </w:r>
      <w:r w:rsidR="007F58AB">
        <w:t xml:space="preserve"> </w:t>
      </w:r>
    </w:p>
    <w:p w:rsidR="00C61A99" w:rsidRPr="00462A6A" w:rsidRDefault="00FD4712" w:rsidP="00462A6A">
      <w:pPr>
        <w:spacing w:after="0" w:line="240" w:lineRule="auto"/>
      </w:pPr>
      <w:r>
        <w:t xml:space="preserve">Please be aware that the bursary scheme is a </w:t>
      </w:r>
      <w:r w:rsidRPr="009F3636">
        <w:rPr>
          <w:b/>
        </w:rPr>
        <w:t xml:space="preserve">competitive process of </w:t>
      </w:r>
      <w:r w:rsidR="007645A8" w:rsidRPr="009F3636">
        <w:rPr>
          <w:b/>
        </w:rPr>
        <w:t>application</w:t>
      </w:r>
      <w:r w:rsidR="007645A8">
        <w:t>. Making</w:t>
      </w:r>
      <w:r>
        <w:t xml:space="preserve"> an application does not guarantee that you will be </w:t>
      </w:r>
      <w:r w:rsidR="00F05225">
        <w:t>granted</w:t>
      </w:r>
      <w:r w:rsidR="007645A8">
        <w:t xml:space="preserve"> a</w:t>
      </w:r>
      <w:r w:rsidR="007F58AB">
        <w:t>n</w:t>
      </w:r>
      <w:r w:rsidR="007645A8">
        <w:t xml:space="preserve"> </w:t>
      </w:r>
      <w:r w:rsidR="007F58AB">
        <w:t>award.</w:t>
      </w:r>
      <w:r w:rsidR="00462A6A">
        <w:t xml:space="preserve"> </w:t>
      </w:r>
    </w:p>
    <w:p w:rsidR="00E37B0B" w:rsidRDefault="00E37B0B" w:rsidP="00462A6A">
      <w:pPr>
        <w:spacing w:after="0" w:line="240" w:lineRule="auto"/>
        <w:jc w:val="both"/>
        <w:rPr>
          <w:b/>
          <w:sz w:val="24"/>
        </w:rPr>
      </w:pPr>
    </w:p>
    <w:p w:rsidR="005936A9" w:rsidRPr="00823535" w:rsidRDefault="005936A9" w:rsidP="00462A6A">
      <w:pPr>
        <w:spacing w:after="0" w:line="240" w:lineRule="auto"/>
        <w:jc w:val="both"/>
        <w:rPr>
          <w:b/>
          <w:sz w:val="24"/>
        </w:rPr>
      </w:pPr>
      <w:r w:rsidRPr="00817EA8">
        <w:rPr>
          <w:b/>
          <w:sz w:val="24"/>
        </w:rPr>
        <w:t>Method of Assessment</w:t>
      </w:r>
    </w:p>
    <w:p w:rsidR="005936A9" w:rsidRDefault="005936A9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 w:rsidRPr="00BF16BC">
        <w:rPr>
          <w:rFonts w:cs="Calibri"/>
          <w:color w:val="000000"/>
          <w:lang w:val="en"/>
        </w:rPr>
        <w:t xml:space="preserve">Eligible applications will be </w:t>
      </w:r>
      <w:r w:rsidR="00D25AE1">
        <w:rPr>
          <w:rFonts w:cs="Calibri"/>
          <w:color w:val="000000"/>
          <w:lang w:val="en"/>
        </w:rPr>
        <w:t xml:space="preserve">assessed by a </w:t>
      </w:r>
      <w:r w:rsidRPr="00BF16BC">
        <w:rPr>
          <w:rFonts w:cs="Calibri"/>
          <w:color w:val="000000"/>
          <w:lang w:val="en"/>
        </w:rPr>
        <w:t>panel consisting of</w:t>
      </w:r>
      <w:r>
        <w:rPr>
          <w:rFonts w:cs="Calibri"/>
          <w:color w:val="000000"/>
          <w:lang w:val="en"/>
        </w:rPr>
        <w:t xml:space="preserve"> at least </w:t>
      </w:r>
      <w:r w:rsidR="00B76747">
        <w:rPr>
          <w:rFonts w:cs="Calibri"/>
          <w:color w:val="000000"/>
          <w:lang w:val="en"/>
        </w:rPr>
        <w:t>2</w:t>
      </w:r>
      <w:r>
        <w:rPr>
          <w:rFonts w:cs="Calibri"/>
          <w:color w:val="000000"/>
          <w:lang w:val="en"/>
        </w:rPr>
        <w:t xml:space="preserve"> assessors including</w:t>
      </w:r>
      <w:r w:rsidRPr="00BF16BC">
        <w:rPr>
          <w:rFonts w:cs="Calibri"/>
          <w:color w:val="000000"/>
          <w:lang w:val="en"/>
        </w:rPr>
        <w:t>:</w:t>
      </w:r>
    </w:p>
    <w:p w:rsidR="005936A9" w:rsidRPr="0064087A" w:rsidRDefault="005936A9" w:rsidP="00462A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lang w:val="en"/>
        </w:rPr>
      </w:pPr>
      <w:r w:rsidRPr="0064087A">
        <w:rPr>
          <w:rFonts w:cs="Calibri"/>
          <w:color w:val="000000"/>
          <w:lang w:val="en"/>
        </w:rPr>
        <w:t>Head of School</w:t>
      </w:r>
      <w:r w:rsidR="0064087A" w:rsidRPr="0064087A">
        <w:rPr>
          <w:rFonts w:cs="Calibri"/>
          <w:color w:val="000000"/>
          <w:lang w:val="en"/>
        </w:rPr>
        <w:t xml:space="preserve">/ </w:t>
      </w:r>
      <w:r w:rsidRPr="0064087A">
        <w:rPr>
          <w:rFonts w:cs="Calibri"/>
          <w:color w:val="000000"/>
          <w:lang w:val="en"/>
        </w:rPr>
        <w:t>Director of Education</w:t>
      </w:r>
    </w:p>
    <w:p w:rsidR="005936A9" w:rsidRDefault="005936A9" w:rsidP="00462A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>ATSM Director</w:t>
      </w:r>
    </w:p>
    <w:p w:rsidR="00462A6A" w:rsidRDefault="005936A9" w:rsidP="00462A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Additional members of the Consultant body, at least 1 per panel. </w:t>
      </w:r>
    </w:p>
    <w:p w:rsidR="005936A9" w:rsidRDefault="00D25AE1" w:rsidP="00462A6A">
      <w:pPr>
        <w:spacing w:after="0" w:line="240" w:lineRule="auto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The scoring scheme will </w:t>
      </w:r>
      <w:r w:rsidR="005936A9" w:rsidRPr="00462A6A">
        <w:rPr>
          <w:rFonts w:cs="Calibri"/>
          <w:color w:val="000000"/>
          <w:lang w:val="en"/>
        </w:rPr>
        <w:t>us</w:t>
      </w:r>
      <w:r>
        <w:rPr>
          <w:rFonts w:cs="Calibri"/>
          <w:color w:val="000000"/>
          <w:lang w:val="en"/>
        </w:rPr>
        <w:t xml:space="preserve">e </w:t>
      </w:r>
      <w:r w:rsidR="005936A9" w:rsidRPr="00462A6A">
        <w:rPr>
          <w:rFonts w:cs="Calibri"/>
          <w:color w:val="000000"/>
          <w:lang w:val="en"/>
        </w:rPr>
        <w:t xml:space="preserve">criteria developed against the questions on the application </w:t>
      </w:r>
      <w:r w:rsidR="00462A6A">
        <w:rPr>
          <w:rFonts w:cs="Calibri"/>
          <w:color w:val="000000"/>
          <w:lang w:val="en"/>
        </w:rPr>
        <w:t xml:space="preserve">form. </w:t>
      </w:r>
      <w:r w:rsidR="00C12397">
        <w:rPr>
          <w:rFonts w:cs="Calibri"/>
          <w:color w:val="000000"/>
          <w:lang w:val="en"/>
        </w:rPr>
        <w:t>I</w:t>
      </w:r>
      <w:r>
        <w:rPr>
          <w:rFonts w:cs="Calibri"/>
          <w:color w:val="000000"/>
          <w:lang w:val="en"/>
        </w:rPr>
        <w:t xml:space="preserve">ndividual </w:t>
      </w:r>
      <w:r w:rsidR="005936A9" w:rsidRPr="00BF16BC">
        <w:rPr>
          <w:rFonts w:cs="Calibri"/>
          <w:color w:val="000000"/>
          <w:lang w:val="en"/>
        </w:rPr>
        <w:t>scores will be combined</w:t>
      </w:r>
      <w:r w:rsidR="0099354B">
        <w:rPr>
          <w:rFonts w:cs="Calibri"/>
          <w:color w:val="000000"/>
          <w:lang w:val="en"/>
        </w:rPr>
        <w:t xml:space="preserve">, </w:t>
      </w:r>
      <w:r w:rsidR="0099354B" w:rsidRPr="00BF16BC">
        <w:rPr>
          <w:rFonts w:cs="Calibri"/>
          <w:color w:val="000000"/>
          <w:lang w:val="en"/>
        </w:rPr>
        <w:t>an</w:t>
      </w:r>
      <w:r w:rsidR="00462A6A">
        <w:rPr>
          <w:rFonts w:cs="Calibri"/>
          <w:color w:val="000000"/>
          <w:lang w:val="en"/>
        </w:rPr>
        <w:t xml:space="preserve"> average score derived</w:t>
      </w:r>
      <w:r w:rsidR="00FD11D0">
        <w:rPr>
          <w:rFonts w:cs="Calibri"/>
          <w:color w:val="000000"/>
          <w:lang w:val="en"/>
        </w:rPr>
        <w:t xml:space="preserve"> and the </w:t>
      </w:r>
      <w:r w:rsidR="005936A9" w:rsidRPr="00BF16BC">
        <w:rPr>
          <w:rFonts w:cs="Calibri"/>
          <w:color w:val="000000"/>
          <w:lang w:val="en"/>
        </w:rPr>
        <w:t xml:space="preserve">application </w:t>
      </w:r>
      <w:r>
        <w:rPr>
          <w:rFonts w:cs="Calibri"/>
          <w:color w:val="000000"/>
          <w:lang w:val="en"/>
        </w:rPr>
        <w:t xml:space="preserve">ranked </w:t>
      </w:r>
      <w:r w:rsidR="005936A9" w:rsidRPr="00BF16BC">
        <w:rPr>
          <w:rFonts w:cs="Calibri"/>
          <w:color w:val="000000"/>
          <w:lang w:val="en"/>
        </w:rPr>
        <w:t>relative to other applicants in the scheme.</w:t>
      </w:r>
    </w:p>
    <w:p w:rsidR="00462A6A" w:rsidRDefault="00462A6A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</w:p>
    <w:p w:rsidR="00462A6A" w:rsidRDefault="00462A6A" w:rsidP="00462A6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Categories &amp; Criteria.</w:t>
      </w:r>
    </w:p>
    <w:p w:rsidR="00462A6A" w:rsidRPr="003553A9" w:rsidRDefault="00462A6A" w:rsidP="00462A6A">
      <w:pPr>
        <w:spacing w:after="0" w:line="240" w:lineRule="auto"/>
        <w:jc w:val="both"/>
        <w:rPr>
          <w:b/>
          <w:sz w:val="24"/>
        </w:rPr>
      </w:pPr>
      <w:r w:rsidRPr="003553A9">
        <w:rPr>
          <w:b/>
          <w:sz w:val="24"/>
        </w:rPr>
        <w:t xml:space="preserve">Meetings – National or International. </w:t>
      </w:r>
    </w:p>
    <w:p w:rsidR="002979BA" w:rsidRDefault="00D25AE1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Bursaries are intended to facilitate the trainee to attend </w:t>
      </w:r>
      <w:r w:rsidR="00C12397">
        <w:rPr>
          <w:rFonts w:cs="Calibri"/>
          <w:color w:val="000000"/>
          <w:lang w:val="en"/>
        </w:rPr>
        <w:t xml:space="preserve">a </w:t>
      </w:r>
      <w:r>
        <w:rPr>
          <w:rFonts w:cs="Calibri"/>
          <w:color w:val="000000"/>
          <w:lang w:val="en"/>
        </w:rPr>
        <w:t xml:space="preserve">meeting or Conference </w:t>
      </w:r>
      <w:r w:rsidR="00C12397">
        <w:rPr>
          <w:rFonts w:cs="Calibri"/>
          <w:color w:val="000000"/>
          <w:lang w:val="en"/>
        </w:rPr>
        <w:t xml:space="preserve">to </w:t>
      </w:r>
      <w:r>
        <w:rPr>
          <w:rFonts w:cs="Calibri"/>
          <w:color w:val="000000"/>
          <w:lang w:val="en"/>
        </w:rPr>
        <w:t xml:space="preserve">present ORIGINAL work. Priority will be given to oral presentations but </w:t>
      </w:r>
      <w:r w:rsidR="00987997">
        <w:rPr>
          <w:rFonts w:cs="Calibri"/>
          <w:color w:val="000000"/>
          <w:lang w:val="en"/>
        </w:rPr>
        <w:t xml:space="preserve">may be considered for poster presentations depending on the credibility of the meeting and the quality and originality of the work undertaken. </w:t>
      </w:r>
      <w:r w:rsidR="002979BA" w:rsidRPr="0064087A">
        <w:rPr>
          <w:rFonts w:cs="Calibri"/>
          <w:b/>
          <w:color w:val="000000"/>
          <w:lang w:val="en"/>
        </w:rPr>
        <w:t>The original abstract should be submitted along with the completed application form</w:t>
      </w:r>
    </w:p>
    <w:p w:rsidR="00462A6A" w:rsidRDefault="00462A6A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</w:p>
    <w:p w:rsidR="00462A6A" w:rsidRDefault="00462A6A" w:rsidP="00462A6A">
      <w:pPr>
        <w:spacing w:after="0" w:line="240" w:lineRule="auto"/>
        <w:jc w:val="both"/>
        <w:rPr>
          <w:b/>
          <w:sz w:val="24"/>
        </w:rPr>
      </w:pPr>
      <w:r w:rsidRPr="003553A9">
        <w:rPr>
          <w:b/>
          <w:sz w:val="24"/>
        </w:rPr>
        <w:t>Postgraduate Certificates &amp; Diplomas</w:t>
      </w:r>
      <w:r>
        <w:rPr>
          <w:b/>
          <w:sz w:val="24"/>
        </w:rPr>
        <w:t>.</w:t>
      </w:r>
    </w:p>
    <w:p w:rsidR="00B76747" w:rsidRDefault="009242EC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The bursary is awarded towards the cost of the </w:t>
      </w:r>
      <w:r w:rsidR="00B76747">
        <w:rPr>
          <w:rFonts w:cs="Calibri"/>
          <w:color w:val="000000"/>
          <w:lang w:val="en"/>
        </w:rPr>
        <w:t xml:space="preserve">additional qualification </w:t>
      </w:r>
      <w:r>
        <w:rPr>
          <w:rFonts w:cs="Calibri"/>
          <w:color w:val="000000"/>
          <w:lang w:val="en"/>
        </w:rPr>
        <w:t>lead</w:t>
      </w:r>
      <w:r w:rsidR="00B76747">
        <w:rPr>
          <w:rFonts w:cs="Calibri"/>
          <w:color w:val="000000"/>
          <w:lang w:val="en"/>
        </w:rPr>
        <w:t xml:space="preserve">ing </w:t>
      </w:r>
      <w:r>
        <w:rPr>
          <w:rFonts w:cs="Calibri"/>
          <w:color w:val="000000"/>
          <w:lang w:val="en"/>
        </w:rPr>
        <w:t xml:space="preserve">to a </w:t>
      </w:r>
      <w:r w:rsidR="00C12397">
        <w:rPr>
          <w:rFonts w:cs="Calibri"/>
          <w:color w:val="000000"/>
          <w:lang w:val="en"/>
        </w:rPr>
        <w:t>recognized</w:t>
      </w:r>
      <w:r>
        <w:rPr>
          <w:rFonts w:cs="Calibri"/>
          <w:color w:val="000000"/>
          <w:lang w:val="en"/>
        </w:rPr>
        <w:t xml:space="preserve"> certificate or diploma. Although there is no maximum limit, awards of over </w:t>
      </w:r>
      <w:r w:rsidR="00462A6A">
        <w:rPr>
          <w:rFonts w:cs="Calibri"/>
          <w:color w:val="000000"/>
          <w:lang w:val="en"/>
        </w:rPr>
        <w:t xml:space="preserve">£1000 </w:t>
      </w:r>
      <w:r>
        <w:rPr>
          <w:rFonts w:cs="Calibri"/>
          <w:color w:val="000000"/>
          <w:lang w:val="en"/>
        </w:rPr>
        <w:t xml:space="preserve">are not usually made. </w:t>
      </w:r>
      <w:r w:rsidR="009C3F8B">
        <w:rPr>
          <w:rFonts w:cs="Calibri"/>
          <w:color w:val="000000"/>
          <w:lang w:val="en"/>
        </w:rPr>
        <w:t xml:space="preserve"> Application can be made once the course commences</w:t>
      </w:r>
      <w:r w:rsidR="00B76747">
        <w:rPr>
          <w:rFonts w:cs="Calibri"/>
          <w:color w:val="000000"/>
          <w:lang w:val="en"/>
        </w:rPr>
        <w:t xml:space="preserve"> and covers only the cost of the course and not any associated travel, subsistence or costs of examinations</w:t>
      </w:r>
    </w:p>
    <w:p w:rsidR="00462A6A" w:rsidRDefault="0064087A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. </w:t>
      </w:r>
      <w:r w:rsidR="00C12397">
        <w:rPr>
          <w:rFonts w:cs="Calibri"/>
          <w:color w:val="000000"/>
          <w:lang w:val="en"/>
        </w:rPr>
        <w:t xml:space="preserve"> </w:t>
      </w:r>
    </w:p>
    <w:p w:rsidR="00462A6A" w:rsidRPr="005936A9" w:rsidRDefault="00462A6A" w:rsidP="00462A6A">
      <w:pPr>
        <w:spacing w:after="0" w:line="240" w:lineRule="auto"/>
        <w:jc w:val="both"/>
        <w:rPr>
          <w:lang w:val="en"/>
        </w:rPr>
      </w:pPr>
      <w:r>
        <w:rPr>
          <w:lang w:val="en"/>
        </w:rPr>
        <w:t>A</w:t>
      </w:r>
      <w:r w:rsidRPr="00363092">
        <w:rPr>
          <w:lang w:val="en"/>
        </w:rPr>
        <w:t>wards can only be guaranteed for the current financial year</w:t>
      </w:r>
      <w:r w:rsidR="00B76747">
        <w:rPr>
          <w:lang w:val="en"/>
        </w:rPr>
        <w:t xml:space="preserve"> and </w:t>
      </w:r>
      <w:r w:rsidRPr="00363092">
        <w:rPr>
          <w:lang w:val="en"/>
        </w:rPr>
        <w:t>there is no guarantee of additional grants to aid in any further years of study that you may commit to.</w:t>
      </w:r>
    </w:p>
    <w:p w:rsidR="00462A6A" w:rsidRPr="00462A6A" w:rsidRDefault="00462A6A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 w:rsidRPr="00937D00">
        <w:rPr>
          <w:rFonts w:cs="Calibri"/>
          <w:color w:val="000000"/>
          <w:lang w:val="en"/>
        </w:rPr>
        <w:t xml:space="preserve">Examples of courses that would be appropriate for bursary funding. </w:t>
      </w:r>
    </w:p>
    <w:p w:rsidR="00462A6A" w:rsidRDefault="00462A6A" w:rsidP="00462A6A">
      <w:pPr>
        <w:pStyle w:val="ListParagraph"/>
        <w:numPr>
          <w:ilvl w:val="0"/>
          <w:numId w:val="4"/>
        </w:numPr>
        <w:spacing w:after="0" w:line="240" w:lineRule="auto"/>
      </w:pPr>
      <w:r>
        <w:t>PG Cert</w:t>
      </w:r>
      <w:r w:rsidRPr="00E24C5E">
        <w:t xml:space="preserve"> Work</w:t>
      </w:r>
      <w:r>
        <w:t>place</w:t>
      </w:r>
      <w:r w:rsidRPr="00E24C5E">
        <w:t xml:space="preserve"> Based </w:t>
      </w:r>
      <w:r>
        <w:t xml:space="preserve">Postgraduate </w:t>
      </w:r>
      <w:r w:rsidRPr="00E24C5E">
        <w:t>Medical Education</w:t>
      </w:r>
      <w:r>
        <w:t xml:space="preserve"> </w:t>
      </w:r>
    </w:p>
    <w:p w:rsidR="00462A6A" w:rsidRDefault="00462A6A" w:rsidP="00462A6A">
      <w:pPr>
        <w:pStyle w:val="ListParagraph"/>
        <w:numPr>
          <w:ilvl w:val="0"/>
          <w:numId w:val="4"/>
        </w:numPr>
        <w:spacing w:after="0" w:line="240" w:lineRule="auto"/>
      </w:pPr>
      <w:r>
        <w:t>PG Cert / MA Medical/Clinical Education</w:t>
      </w:r>
    </w:p>
    <w:p w:rsidR="00462A6A" w:rsidRDefault="00462A6A" w:rsidP="00462A6A">
      <w:pPr>
        <w:pStyle w:val="ListParagraph"/>
        <w:numPr>
          <w:ilvl w:val="0"/>
          <w:numId w:val="4"/>
        </w:numPr>
        <w:spacing w:after="0" w:line="240" w:lineRule="auto"/>
      </w:pPr>
      <w:r>
        <w:t>MA in Healthcare, Ethics and Law</w:t>
      </w:r>
    </w:p>
    <w:p w:rsidR="00462A6A" w:rsidRDefault="00462A6A" w:rsidP="00462A6A">
      <w:pPr>
        <w:pStyle w:val="ListParagraph"/>
        <w:numPr>
          <w:ilvl w:val="0"/>
          <w:numId w:val="4"/>
        </w:numPr>
        <w:spacing w:after="0" w:line="240" w:lineRule="auto"/>
      </w:pPr>
      <w:r w:rsidRPr="00E24C5E">
        <w:t>MA in Developing Professional Practice in Management</w:t>
      </w:r>
    </w:p>
    <w:p w:rsidR="00462A6A" w:rsidRDefault="00462A6A" w:rsidP="00462A6A">
      <w:pPr>
        <w:pStyle w:val="ListParagraph"/>
        <w:numPr>
          <w:ilvl w:val="0"/>
          <w:numId w:val="4"/>
        </w:numPr>
        <w:spacing w:after="0" w:line="240" w:lineRule="auto"/>
      </w:pPr>
      <w:r w:rsidRPr="00E24C5E">
        <w:t>MSc Teaching Mindfulness Based Approaches</w:t>
      </w:r>
    </w:p>
    <w:p w:rsidR="00987997" w:rsidRPr="00462A6A" w:rsidRDefault="00987997" w:rsidP="00462A6A">
      <w:pPr>
        <w:pStyle w:val="ListParagraph"/>
        <w:numPr>
          <w:ilvl w:val="0"/>
          <w:numId w:val="4"/>
        </w:numPr>
        <w:spacing w:after="0" w:line="240" w:lineRule="auto"/>
      </w:pPr>
      <w:r>
        <w:t>Courses to support the Advanced Professional Module</w:t>
      </w:r>
    </w:p>
    <w:p w:rsidR="00462A6A" w:rsidRPr="00462A6A" w:rsidRDefault="00C12397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>D</w:t>
      </w:r>
      <w:r w:rsidR="00462A6A" w:rsidRPr="00462A6A">
        <w:rPr>
          <w:rFonts w:cs="Calibri"/>
          <w:color w:val="000000"/>
          <w:lang w:val="en"/>
        </w:rPr>
        <w:t>ecisions concerning bursaries are not made solely on the basis of the type of course that you are applying for. Successful applications will demonstrate how this course will benefit personal / career development, and how it will bring benefits to the wider NHS.</w:t>
      </w:r>
    </w:p>
    <w:p w:rsidR="00462A6A" w:rsidRPr="00462A6A" w:rsidRDefault="00462A6A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</w:p>
    <w:p w:rsidR="00462A6A" w:rsidRDefault="009C3F8B" w:rsidP="00462A6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Special Skills Training</w:t>
      </w:r>
    </w:p>
    <w:p w:rsidR="00EC216D" w:rsidRDefault="00B76747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 w:rsidRPr="009242EC">
        <w:rPr>
          <w:rFonts w:cs="Calibri"/>
          <w:b/>
          <w:color w:val="000000"/>
          <w:lang w:val="en"/>
        </w:rPr>
        <w:t>To apply for this award the trainee must have passed their MRCOG examinations</w:t>
      </w:r>
      <w:r>
        <w:rPr>
          <w:rFonts w:cs="Calibri"/>
          <w:color w:val="000000"/>
          <w:lang w:val="en"/>
        </w:rPr>
        <w:t xml:space="preserve"> (Parts 1-3). </w:t>
      </w:r>
      <w:r w:rsidR="00EC216D">
        <w:rPr>
          <w:rFonts w:cs="Calibri"/>
          <w:color w:val="000000"/>
          <w:lang w:val="en"/>
        </w:rPr>
        <w:t xml:space="preserve">This award </w:t>
      </w:r>
      <w:r>
        <w:rPr>
          <w:rFonts w:cs="Calibri"/>
          <w:color w:val="000000"/>
          <w:lang w:val="en"/>
        </w:rPr>
        <w:t xml:space="preserve">is aimed at more senior trainees who wish </w:t>
      </w:r>
      <w:r w:rsidR="009C3F8B">
        <w:rPr>
          <w:rFonts w:cs="Calibri"/>
          <w:color w:val="000000"/>
          <w:lang w:val="en"/>
        </w:rPr>
        <w:t>to develop additional skills or special interests to ensure they are competitive for a Consultant post</w:t>
      </w:r>
      <w:r>
        <w:rPr>
          <w:rFonts w:cs="Calibri"/>
          <w:color w:val="000000"/>
          <w:lang w:val="en"/>
        </w:rPr>
        <w:t xml:space="preserve"> and to complement or enhance their ATSMs</w:t>
      </w:r>
      <w:r w:rsidR="009C3F8B">
        <w:rPr>
          <w:rFonts w:cs="Calibri"/>
          <w:color w:val="000000"/>
          <w:lang w:val="en"/>
        </w:rPr>
        <w:t xml:space="preserve">. </w:t>
      </w:r>
    </w:p>
    <w:p w:rsidR="00EC216D" w:rsidRDefault="00EC216D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>This might include additional on line learning or alternative</w:t>
      </w:r>
      <w:r w:rsidR="0064087A">
        <w:rPr>
          <w:rFonts w:cs="Calibri"/>
          <w:color w:val="000000"/>
          <w:lang w:val="en"/>
        </w:rPr>
        <w:t xml:space="preserve"> courses </w:t>
      </w:r>
      <w:r w:rsidR="00375D47">
        <w:rPr>
          <w:rFonts w:cs="Calibri"/>
          <w:color w:val="000000"/>
          <w:lang w:val="en"/>
        </w:rPr>
        <w:t xml:space="preserve">and </w:t>
      </w:r>
      <w:proofErr w:type="spellStart"/>
      <w:r w:rsidR="00375D47">
        <w:rPr>
          <w:rFonts w:cs="Calibri"/>
          <w:color w:val="000000"/>
          <w:lang w:val="en"/>
        </w:rPr>
        <w:t>particulalry</w:t>
      </w:r>
      <w:proofErr w:type="spellEnd"/>
      <w:r w:rsidR="00375D47">
        <w:rPr>
          <w:rFonts w:cs="Calibri"/>
          <w:color w:val="000000"/>
          <w:lang w:val="en"/>
        </w:rPr>
        <w:t xml:space="preserve"> relevant at present are </w:t>
      </w:r>
      <w:r>
        <w:rPr>
          <w:rFonts w:cs="Calibri"/>
          <w:color w:val="000000"/>
          <w:lang w:val="en"/>
        </w:rPr>
        <w:t>courses that support learning and teachi</w:t>
      </w:r>
      <w:r w:rsidR="00375D47">
        <w:rPr>
          <w:rFonts w:cs="Calibri"/>
          <w:color w:val="000000"/>
          <w:lang w:val="en"/>
        </w:rPr>
        <w:t>ng with technology; teaching in</w:t>
      </w:r>
      <w:r>
        <w:rPr>
          <w:rFonts w:cs="Calibri"/>
          <w:color w:val="000000"/>
          <w:lang w:val="en"/>
        </w:rPr>
        <w:t xml:space="preserve"> virtual communication; health and wellbeing. </w:t>
      </w:r>
    </w:p>
    <w:p w:rsidR="00375D47" w:rsidRDefault="00375D47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</w:p>
    <w:p w:rsidR="009C3F8B" w:rsidRDefault="00EC216D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Senior trainees can </w:t>
      </w:r>
      <w:r w:rsidR="00375D47">
        <w:rPr>
          <w:rFonts w:cs="Calibri"/>
          <w:color w:val="000000"/>
          <w:lang w:val="en"/>
        </w:rPr>
        <w:t xml:space="preserve">also </w:t>
      </w:r>
      <w:r>
        <w:rPr>
          <w:rFonts w:cs="Calibri"/>
          <w:color w:val="000000"/>
          <w:lang w:val="en"/>
        </w:rPr>
        <w:t>a</w:t>
      </w:r>
      <w:r w:rsidR="00462A6A">
        <w:rPr>
          <w:rFonts w:cs="Calibri"/>
          <w:color w:val="000000"/>
          <w:lang w:val="en"/>
        </w:rPr>
        <w:t xml:space="preserve">pply for a </w:t>
      </w:r>
      <w:r w:rsidR="009242EC">
        <w:rPr>
          <w:rFonts w:cs="Calibri"/>
          <w:color w:val="000000"/>
          <w:lang w:val="en"/>
        </w:rPr>
        <w:t xml:space="preserve">bursary </w:t>
      </w:r>
      <w:r w:rsidR="00462A6A">
        <w:rPr>
          <w:rFonts w:cs="Calibri"/>
          <w:color w:val="000000"/>
          <w:lang w:val="en"/>
        </w:rPr>
        <w:t xml:space="preserve">towards expenses for attendance at </w:t>
      </w:r>
      <w:r w:rsidR="009C3F8B">
        <w:rPr>
          <w:rFonts w:cs="Calibri"/>
          <w:color w:val="000000"/>
          <w:lang w:val="en"/>
        </w:rPr>
        <w:t xml:space="preserve">specific </w:t>
      </w:r>
      <w:r w:rsidR="009242EC">
        <w:rPr>
          <w:rFonts w:cs="Calibri"/>
          <w:color w:val="000000"/>
          <w:lang w:val="en"/>
        </w:rPr>
        <w:t xml:space="preserve">additional </w:t>
      </w:r>
      <w:r w:rsidR="009C3F8B">
        <w:rPr>
          <w:rFonts w:cs="Calibri"/>
          <w:color w:val="000000"/>
          <w:lang w:val="en"/>
        </w:rPr>
        <w:t xml:space="preserve">courses or training centres to learn skills that are not available within the Region and which will usually support or complement their ATSM choices. Examples include advanced laparoscopic courses; </w:t>
      </w:r>
      <w:r w:rsidR="000422E2">
        <w:rPr>
          <w:rFonts w:cs="Calibri"/>
          <w:color w:val="000000"/>
          <w:lang w:val="en"/>
        </w:rPr>
        <w:t xml:space="preserve">urogynaecology training courses, special fetal medicine techniques </w:t>
      </w:r>
      <w:r w:rsidR="009C3F8B">
        <w:rPr>
          <w:rFonts w:cs="Calibri"/>
          <w:color w:val="000000"/>
          <w:lang w:val="en"/>
        </w:rPr>
        <w:t>or overseas educational exchanges</w:t>
      </w:r>
    </w:p>
    <w:p w:rsidR="009F115C" w:rsidRDefault="00462A6A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  <w:r>
        <w:rPr>
          <w:rFonts w:cs="Calibri"/>
          <w:color w:val="000000"/>
          <w:lang w:val="en"/>
        </w:rPr>
        <w:t xml:space="preserve">In addition to the application form a </w:t>
      </w:r>
      <w:r w:rsidRPr="00937D00">
        <w:rPr>
          <w:rFonts w:cs="Calibri"/>
          <w:color w:val="000000"/>
          <w:lang w:val="en"/>
        </w:rPr>
        <w:t xml:space="preserve">supporting statement from </w:t>
      </w:r>
      <w:r w:rsidR="009C3F8B">
        <w:rPr>
          <w:rFonts w:cs="Calibri"/>
          <w:color w:val="000000"/>
          <w:lang w:val="en"/>
        </w:rPr>
        <w:t xml:space="preserve">their </w:t>
      </w:r>
      <w:r w:rsidR="009242EC">
        <w:rPr>
          <w:rFonts w:cs="Calibri"/>
          <w:color w:val="000000"/>
          <w:lang w:val="en"/>
        </w:rPr>
        <w:t xml:space="preserve">ATSM and/or </w:t>
      </w:r>
      <w:r w:rsidR="009C3F8B">
        <w:rPr>
          <w:rFonts w:cs="Calibri"/>
          <w:color w:val="000000"/>
          <w:lang w:val="en"/>
        </w:rPr>
        <w:t>Educational Supervisor wi</w:t>
      </w:r>
      <w:r>
        <w:rPr>
          <w:rFonts w:cs="Calibri"/>
          <w:color w:val="000000"/>
          <w:lang w:val="en"/>
        </w:rPr>
        <w:t xml:space="preserve">ll be required.  </w:t>
      </w:r>
    </w:p>
    <w:p w:rsidR="009F115C" w:rsidRDefault="009F115C" w:rsidP="00462A6A">
      <w:pPr>
        <w:spacing w:after="0" w:line="240" w:lineRule="auto"/>
        <w:jc w:val="both"/>
        <w:rPr>
          <w:rFonts w:cs="Calibri"/>
          <w:color w:val="000000"/>
          <w:lang w:val="en"/>
        </w:rPr>
      </w:pPr>
    </w:p>
    <w:p w:rsidR="00817EA8" w:rsidRPr="00823535" w:rsidRDefault="00E07EA1" w:rsidP="00462A6A">
      <w:pPr>
        <w:spacing w:after="0" w:line="240" w:lineRule="auto"/>
        <w:jc w:val="both"/>
        <w:rPr>
          <w:b/>
          <w:sz w:val="24"/>
        </w:rPr>
      </w:pPr>
      <w:r w:rsidRPr="00817EA8">
        <w:rPr>
          <w:b/>
          <w:sz w:val="24"/>
        </w:rPr>
        <w:t>Claiming Bursaries and Cancellation</w:t>
      </w:r>
    </w:p>
    <w:p w:rsidR="007F58AB" w:rsidRDefault="00E07EA1" w:rsidP="00462A6A">
      <w:pPr>
        <w:spacing w:after="0" w:line="240" w:lineRule="auto"/>
        <w:jc w:val="both"/>
        <w:rPr>
          <w:lang w:val="en"/>
        </w:rPr>
      </w:pPr>
      <w:r w:rsidRPr="00363092">
        <w:rPr>
          <w:lang w:val="en"/>
        </w:rPr>
        <w:t>If yo</w:t>
      </w:r>
      <w:r w:rsidR="007F58AB">
        <w:rPr>
          <w:lang w:val="en"/>
        </w:rPr>
        <w:t>u are successful in obtaining a</w:t>
      </w:r>
      <w:r w:rsidRPr="00363092">
        <w:rPr>
          <w:lang w:val="en"/>
        </w:rPr>
        <w:t xml:space="preserve"> bursary you will be sent further information about how</w:t>
      </w:r>
      <w:r w:rsidR="007F58AB">
        <w:rPr>
          <w:lang w:val="en"/>
        </w:rPr>
        <w:t xml:space="preserve"> to</w:t>
      </w:r>
      <w:r w:rsidRPr="00363092">
        <w:rPr>
          <w:lang w:val="en"/>
        </w:rPr>
        <w:t xml:space="preserve"> claim the funding with your offer letter.</w:t>
      </w:r>
      <w:r w:rsidR="007F58AB">
        <w:rPr>
          <w:lang w:val="en"/>
        </w:rPr>
        <w:t xml:space="preserve"> </w:t>
      </w:r>
      <w:r w:rsidR="007F58AB" w:rsidRPr="00363092">
        <w:rPr>
          <w:lang w:val="en"/>
        </w:rPr>
        <w:t xml:space="preserve">We </w:t>
      </w:r>
      <w:r w:rsidR="00C12397">
        <w:rPr>
          <w:lang w:val="en"/>
        </w:rPr>
        <w:t xml:space="preserve">are not able to pay expenses in advance or to pay </w:t>
      </w:r>
      <w:r w:rsidR="007F58AB">
        <w:rPr>
          <w:lang w:val="en"/>
        </w:rPr>
        <w:t xml:space="preserve">invoices directly. </w:t>
      </w:r>
      <w:r w:rsidR="00B846DD">
        <w:rPr>
          <w:lang w:val="en"/>
        </w:rPr>
        <w:t xml:space="preserve">Failure to claim your </w:t>
      </w:r>
      <w:r w:rsidR="00C12397">
        <w:rPr>
          <w:lang w:val="en"/>
        </w:rPr>
        <w:t xml:space="preserve">award </w:t>
      </w:r>
      <w:r w:rsidR="00B846DD">
        <w:rPr>
          <w:lang w:val="en"/>
        </w:rPr>
        <w:t xml:space="preserve">within </w:t>
      </w:r>
      <w:r w:rsidR="00375D47">
        <w:rPr>
          <w:lang w:val="en"/>
        </w:rPr>
        <w:t xml:space="preserve">3 months </w:t>
      </w:r>
      <w:r w:rsidR="00C12397">
        <w:rPr>
          <w:lang w:val="en"/>
        </w:rPr>
        <w:t xml:space="preserve">may </w:t>
      </w:r>
      <w:r w:rsidR="00B846DD">
        <w:rPr>
          <w:lang w:val="en"/>
        </w:rPr>
        <w:t xml:space="preserve">result in withdrawal </w:t>
      </w:r>
      <w:r w:rsidR="0099354B">
        <w:rPr>
          <w:lang w:val="en"/>
        </w:rPr>
        <w:t>of funding</w:t>
      </w:r>
      <w:r w:rsidR="00B846DD">
        <w:rPr>
          <w:lang w:val="en"/>
        </w:rPr>
        <w:t xml:space="preserve">. The School of </w:t>
      </w:r>
      <w:r w:rsidR="00516C4C">
        <w:rPr>
          <w:lang w:val="en"/>
        </w:rPr>
        <w:t>Obstetrics</w:t>
      </w:r>
      <w:r w:rsidR="00B846DD">
        <w:rPr>
          <w:lang w:val="en"/>
        </w:rPr>
        <w:t xml:space="preserve"> and Gynaecology </w:t>
      </w:r>
      <w:r w:rsidR="00B846DD" w:rsidRPr="00B846DD">
        <w:rPr>
          <w:lang w:val="en"/>
        </w:rPr>
        <w:t>reserves the right to amend or withdraw</w:t>
      </w:r>
      <w:r w:rsidR="00516C4C">
        <w:rPr>
          <w:lang w:val="en"/>
        </w:rPr>
        <w:t xml:space="preserve"> this scheme at any time without prior notification. </w:t>
      </w:r>
    </w:p>
    <w:sectPr w:rsidR="007F58AB" w:rsidSect="00C12397">
      <w:footerReference w:type="default" r:id="rId11"/>
      <w:pgSz w:w="11906" w:h="16838"/>
      <w:pgMar w:top="1021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EC" w:rsidRDefault="009242EC" w:rsidP="00823C51">
      <w:pPr>
        <w:spacing w:after="0" w:line="240" w:lineRule="auto"/>
      </w:pPr>
      <w:r>
        <w:separator/>
      </w:r>
    </w:p>
  </w:endnote>
  <w:endnote w:type="continuationSeparator" w:id="0">
    <w:p w:rsidR="009242EC" w:rsidRDefault="009242EC" w:rsidP="0082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EC" w:rsidRPr="00DD6CDA" w:rsidRDefault="009242EC">
    <w:pPr>
      <w:pStyle w:val="Footer"/>
      <w:rPr>
        <w:i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EC" w:rsidRDefault="009242EC" w:rsidP="00823C51">
      <w:pPr>
        <w:spacing w:after="0" w:line="240" w:lineRule="auto"/>
      </w:pPr>
      <w:r>
        <w:separator/>
      </w:r>
    </w:p>
  </w:footnote>
  <w:footnote w:type="continuationSeparator" w:id="0">
    <w:p w:rsidR="009242EC" w:rsidRDefault="009242EC" w:rsidP="0082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535A"/>
    <w:multiLevelType w:val="hybridMultilevel"/>
    <w:tmpl w:val="D8CE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1C57"/>
    <w:multiLevelType w:val="hybridMultilevel"/>
    <w:tmpl w:val="B5283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DC51ED"/>
    <w:multiLevelType w:val="hybridMultilevel"/>
    <w:tmpl w:val="58C2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71935"/>
    <w:multiLevelType w:val="hybridMultilevel"/>
    <w:tmpl w:val="54861D16"/>
    <w:lvl w:ilvl="0" w:tplc="775C93D2">
      <w:start w:val="1"/>
      <w:numFmt w:val="bullet"/>
      <w:lvlText w:val="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26303"/>
    <w:multiLevelType w:val="hybridMultilevel"/>
    <w:tmpl w:val="67102D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C80FE3"/>
    <w:multiLevelType w:val="hybridMultilevel"/>
    <w:tmpl w:val="EBB4DB12"/>
    <w:lvl w:ilvl="0" w:tplc="FF42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32070"/>
    <w:multiLevelType w:val="hybridMultilevel"/>
    <w:tmpl w:val="662E907E"/>
    <w:lvl w:ilvl="0" w:tplc="775C93D2">
      <w:start w:val="1"/>
      <w:numFmt w:val="bullet"/>
      <w:lvlText w:val="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0CC4"/>
    <w:multiLevelType w:val="hybridMultilevel"/>
    <w:tmpl w:val="F70657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F9"/>
    <w:rsid w:val="00012E00"/>
    <w:rsid w:val="0001503B"/>
    <w:rsid w:val="00032975"/>
    <w:rsid w:val="000422E2"/>
    <w:rsid w:val="000A3F41"/>
    <w:rsid w:val="00120700"/>
    <w:rsid w:val="00137B13"/>
    <w:rsid w:val="00143534"/>
    <w:rsid w:val="00165D01"/>
    <w:rsid w:val="00167F48"/>
    <w:rsid w:val="00191E86"/>
    <w:rsid w:val="001D68A7"/>
    <w:rsid w:val="00234F78"/>
    <w:rsid w:val="00276DAF"/>
    <w:rsid w:val="002979BA"/>
    <w:rsid w:val="002D7020"/>
    <w:rsid w:val="002F6562"/>
    <w:rsid w:val="00305587"/>
    <w:rsid w:val="00311FC8"/>
    <w:rsid w:val="0033384A"/>
    <w:rsid w:val="003553A9"/>
    <w:rsid w:val="00363092"/>
    <w:rsid w:val="00375D47"/>
    <w:rsid w:val="003A2B3C"/>
    <w:rsid w:val="00405015"/>
    <w:rsid w:val="00462A6A"/>
    <w:rsid w:val="00470513"/>
    <w:rsid w:val="004814D9"/>
    <w:rsid w:val="00490F09"/>
    <w:rsid w:val="00494BBF"/>
    <w:rsid w:val="004F6653"/>
    <w:rsid w:val="00502C4C"/>
    <w:rsid w:val="00516C4C"/>
    <w:rsid w:val="00523A6D"/>
    <w:rsid w:val="0056561A"/>
    <w:rsid w:val="00582FC7"/>
    <w:rsid w:val="00586190"/>
    <w:rsid w:val="005936A9"/>
    <w:rsid w:val="005A70AE"/>
    <w:rsid w:val="005B0559"/>
    <w:rsid w:val="00601D3D"/>
    <w:rsid w:val="00631C25"/>
    <w:rsid w:val="0064087A"/>
    <w:rsid w:val="006555B3"/>
    <w:rsid w:val="00683E0C"/>
    <w:rsid w:val="006A6187"/>
    <w:rsid w:val="006B1C4D"/>
    <w:rsid w:val="006F15E4"/>
    <w:rsid w:val="00705738"/>
    <w:rsid w:val="00714AB6"/>
    <w:rsid w:val="007645A8"/>
    <w:rsid w:val="0078636C"/>
    <w:rsid w:val="007D60D8"/>
    <w:rsid w:val="007F58AB"/>
    <w:rsid w:val="007F6CED"/>
    <w:rsid w:val="00817EA8"/>
    <w:rsid w:val="008215DB"/>
    <w:rsid w:val="00823535"/>
    <w:rsid w:val="00823C51"/>
    <w:rsid w:val="00830E24"/>
    <w:rsid w:val="00831446"/>
    <w:rsid w:val="00883956"/>
    <w:rsid w:val="00901CCC"/>
    <w:rsid w:val="00916EAB"/>
    <w:rsid w:val="009242EC"/>
    <w:rsid w:val="00937D00"/>
    <w:rsid w:val="00950A6C"/>
    <w:rsid w:val="00956F58"/>
    <w:rsid w:val="0098426D"/>
    <w:rsid w:val="00987997"/>
    <w:rsid w:val="0099354B"/>
    <w:rsid w:val="00993B94"/>
    <w:rsid w:val="009C1713"/>
    <w:rsid w:val="009C3F8B"/>
    <w:rsid w:val="009F115C"/>
    <w:rsid w:val="009F3636"/>
    <w:rsid w:val="00AF32E0"/>
    <w:rsid w:val="00B26399"/>
    <w:rsid w:val="00B31AD8"/>
    <w:rsid w:val="00B60BF9"/>
    <w:rsid w:val="00B76747"/>
    <w:rsid w:val="00B846DD"/>
    <w:rsid w:val="00BC75DF"/>
    <w:rsid w:val="00BF16BC"/>
    <w:rsid w:val="00BF6F76"/>
    <w:rsid w:val="00C12397"/>
    <w:rsid w:val="00C43955"/>
    <w:rsid w:val="00C61A99"/>
    <w:rsid w:val="00C81468"/>
    <w:rsid w:val="00C93DCA"/>
    <w:rsid w:val="00CC34DE"/>
    <w:rsid w:val="00D1554F"/>
    <w:rsid w:val="00D16BD5"/>
    <w:rsid w:val="00D2074F"/>
    <w:rsid w:val="00D25AE1"/>
    <w:rsid w:val="00DD6CDA"/>
    <w:rsid w:val="00DE09EE"/>
    <w:rsid w:val="00DF68B3"/>
    <w:rsid w:val="00E07EA1"/>
    <w:rsid w:val="00E2240F"/>
    <w:rsid w:val="00E264CC"/>
    <w:rsid w:val="00E37B0B"/>
    <w:rsid w:val="00E54F5A"/>
    <w:rsid w:val="00E5542A"/>
    <w:rsid w:val="00EC216D"/>
    <w:rsid w:val="00EE1C8E"/>
    <w:rsid w:val="00EE334C"/>
    <w:rsid w:val="00F05225"/>
    <w:rsid w:val="00F1390D"/>
    <w:rsid w:val="00F3427E"/>
    <w:rsid w:val="00FD11D0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17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F9"/>
    <w:pPr>
      <w:ind w:left="720"/>
      <w:contextualSpacing/>
    </w:pPr>
  </w:style>
  <w:style w:type="character" w:styleId="Hyperlink">
    <w:name w:val="Hyperlink"/>
    <w:uiPriority w:val="99"/>
    <w:unhideWhenUsed/>
    <w:rsid w:val="0014353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0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C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1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30558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E2240F"/>
    <w:rPr>
      <w:b/>
      <w:bCs/>
    </w:rPr>
  </w:style>
  <w:style w:type="paragraph" w:styleId="NormalWeb">
    <w:name w:val="Normal (Web)"/>
    <w:basedOn w:val="Normal"/>
    <w:uiPriority w:val="99"/>
    <w:unhideWhenUsed/>
    <w:rsid w:val="00E2240F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E2240F"/>
    <w:rPr>
      <w:i/>
      <w:iCs/>
    </w:rPr>
  </w:style>
  <w:style w:type="character" w:customStyle="1" w:styleId="apple-converted-space">
    <w:name w:val="apple-converted-space"/>
    <w:rsid w:val="00817EA8"/>
  </w:style>
  <w:style w:type="character" w:customStyle="1" w:styleId="Heading4Char">
    <w:name w:val="Heading 4 Char"/>
    <w:link w:val="Heading4"/>
    <w:uiPriority w:val="9"/>
    <w:rsid w:val="00817EA8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51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0522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1E86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E86"/>
    <w:rPr>
      <w:rFonts w:eastAsiaTheme="minorHAns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17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F9"/>
    <w:pPr>
      <w:ind w:left="720"/>
      <w:contextualSpacing/>
    </w:pPr>
  </w:style>
  <w:style w:type="character" w:styleId="Hyperlink">
    <w:name w:val="Hyperlink"/>
    <w:uiPriority w:val="99"/>
    <w:unhideWhenUsed/>
    <w:rsid w:val="0014353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0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C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1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30558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E2240F"/>
    <w:rPr>
      <w:b/>
      <w:bCs/>
    </w:rPr>
  </w:style>
  <w:style w:type="paragraph" w:styleId="NormalWeb">
    <w:name w:val="Normal (Web)"/>
    <w:basedOn w:val="Normal"/>
    <w:uiPriority w:val="99"/>
    <w:unhideWhenUsed/>
    <w:rsid w:val="00E2240F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E2240F"/>
    <w:rPr>
      <w:i/>
      <w:iCs/>
    </w:rPr>
  </w:style>
  <w:style w:type="character" w:customStyle="1" w:styleId="apple-converted-space">
    <w:name w:val="apple-converted-space"/>
    <w:rsid w:val="00817EA8"/>
  </w:style>
  <w:style w:type="character" w:customStyle="1" w:styleId="Heading4Char">
    <w:name w:val="Heading 4 Char"/>
    <w:link w:val="Heading4"/>
    <w:uiPriority w:val="9"/>
    <w:rsid w:val="00817EA8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51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0522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1E86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E86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8586">
                      <w:marLeft w:val="150"/>
                      <w:marRight w:val="15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236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25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656">
                      <w:marLeft w:val="150"/>
                      <w:marRight w:val="15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9998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94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2169">
                      <w:marLeft w:val="150"/>
                      <w:marRight w:val="15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272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2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1857">
                      <w:marLeft w:val="150"/>
                      <w:marRight w:val="15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7226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63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0">
                      <w:marLeft w:val="150"/>
                      <w:marRight w:val="15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093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41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gionalteaching.yh@hee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1A2B-261E-4017-8EC3-03F7DB26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Rewarding Excellence Guidelines</vt:lpstr>
    </vt:vector>
  </TitlesOfParts>
  <Company>Sheffield Teaching Hospital NHS Foundation Trust</Company>
  <LinksUpToDate>false</LinksUpToDate>
  <CharactersWithSpaces>5968</CharactersWithSpaces>
  <SharedDoc>false</SharedDoc>
  <HLinks>
    <vt:vector size="12" baseType="variant"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mailto:louisa.millward@sth.nhs.uk</vt:lpwstr>
      </vt:variant>
      <vt:variant>
        <vt:lpwstr/>
      </vt:variant>
      <vt:variant>
        <vt:i4>6422574</vt:i4>
      </vt:variant>
      <vt:variant>
        <vt:i4>-1</vt:i4>
      </vt:variant>
      <vt:variant>
        <vt:i4>1027</vt:i4>
      </vt:variant>
      <vt:variant>
        <vt:i4>1</vt:i4>
      </vt:variant>
      <vt:variant>
        <vt:lpwstr>http://www.yorksandhumberdeanery.nhs.uk/medicine/images/banner1.jpg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Rewarding Excellence Guidelines</dc:title>
  <dc:creator>Louisa Millward</dc:creator>
  <cp:lastModifiedBy>Jayne Shillito</cp:lastModifiedBy>
  <cp:revision>3</cp:revision>
  <cp:lastPrinted>2016-05-24T14:51:00Z</cp:lastPrinted>
  <dcterms:created xsi:type="dcterms:W3CDTF">2023-01-22T17:23:00Z</dcterms:created>
  <dcterms:modified xsi:type="dcterms:W3CDTF">2023-01-22T17:26:00Z</dcterms:modified>
</cp:coreProperties>
</file>