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B95D2" w14:textId="77777777" w:rsidR="00E765C6" w:rsidRDefault="00E765C6" w:rsidP="00E765C6">
      <w:pPr>
        <w:jc w:val="center"/>
        <w:rPr>
          <w:b/>
          <w:sz w:val="24"/>
        </w:rPr>
      </w:pPr>
      <w:bookmarkStart w:id="0" w:name="_GoBack"/>
      <w:bookmarkEnd w:id="0"/>
    </w:p>
    <w:p w14:paraId="47BF5A1A" w14:textId="77777777" w:rsidR="00E765C6" w:rsidRDefault="00E765C6" w:rsidP="00E765C6">
      <w:pPr>
        <w:jc w:val="center"/>
        <w:rPr>
          <w:b/>
          <w:sz w:val="24"/>
        </w:rPr>
      </w:pPr>
    </w:p>
    <w:p w14:paraId="12F075DC" w14:textId="77777777" w:rsidR="00AF0081" w:rsidRDefault="00AF0081" w:rsidP="0041362D">
      <w:pPr>
        <w:rPr>
          <w:b/>
          <w:sz w:val="24"/>
        </w:rPr>
      </w:pPr>
      <w:r>
        <w:rPr>
          <w:b/>
          <w:sz w:val="24"/>
        </w:rPr>
        <w:t xml:space="preserve">          </w:t>
      </w:r>
      <w:r w:rsidR="0041362D">
        <w:rPr>
          <w:b/>
          <w:sz w:val="24"/>
        </w:rPr>
        <w:t xml:space="preserve">Standard Operating Procedure – </w:t>
      </w:r>
      <w:r w:rsidR="00E903AF">
        <w:rPr>
          <w:b/>
          <w:sz w:val="24"/>
        </w:rPr>
        <w:t xml:space="preserve">TPD Rotation Management </w:t>
      </w:r>
    </w:p>
    <w:p w14:paraId="2DE6274E" w14:textId="77777777" w:rsidR="00E765C6" w:rsidRPr="00A07EE8" w:rsidRDefault="00AF0081" w:rsidP="0041362D">
      <w:pPr>
        <w:rPr>
          <w:b/>
          <w:sz w:val="24"/>
        </w:rPr>
      </w:pPr>
      <w:r>
        <w:rPr>
          <w:b/>
          <w:sz w:val="24"/>
        </w:rPr>
        <w:t xml:space="preserve">                           </w:t>
      </w:r>
      <w:r w:rsidR="00E903AF">
        <w:rPr>
          <w:b/>
          <w:sz w:val="24"/>
        </w:rPr>
        <w:t>(in accordance with Code of Practice)</w:t>
      </w:r>
    </w:p>
    <w:p w14:paraId="717E9F85" w14:textId="77777777" w:rsidR="00E765C6" w:rsidRDefault="00E765C6" w:rsidP="00E765C6">
      <w:pPr>
        <w:rPr>
          <w:b/>
          <w:sz w:val="28"/>
          <w:szCs w:val="28"/>
        </w:rPr>
      </w:pPr>
    </w:p>
    <w:p w14:paraId="21BA9666" w14:textId="77777777" w:rsidR="00C809BA" w:rsidRPr="00AA135A" w:rsidRDefault="00C809BA" w:rsidP="00E765C6">
      <w:pPr>
        <w:rPr>
          <w:b/>
          <w:sz w:val="24"/>
          <w:szCs w:val="28"/>
        </w:rPr>
      </w:pPr>
      <w:r w:rsidRPr="00AA135A">
        <w:rPr>
          <w:b/>
          <w:sz w:val="24"/>
          <w:szCs w:val="28"/>
        </w:rPr>
        <w:t>Background</w:t>
      </w:r>
    </w:p>
    <w:p w14:paraId="0E287BE2" w14:textId="77777777" w:rsidR="00E3172C" w:rsidRDefault="00E3172C" w:rsidP="00E765C6">
      <w:pPr>
        <w:rPr>
          <w:rFonts w:eastAsiaTheme="minorHAnsi" w:cs="Arial"/>
          <w:szCs w:val="22"/>
          <w:lang w:eastAsia="en-US"/>
        </w:rPr>
      </w:pPr>
      <w:r w:rsidRPr="002E3623">
        <w:rPr>
          <w:rFonts w:eastAsiaTheme="minorHAnsi" w:cs="Arial"/>
          <w:szCs w:val="22"/>
          <w:lang w:eastAsia="en-US"/>
        </w:rPr>
        <w:t xml:space="preserve">HEE is responsible for continuing to implement and improve compliance with the </w:t>
      </w:r>
      <w:r w:rsidR="00924700">
        <w:rPr>
          <w:rFonts w:eastAsiaTheme="minorHAnsi" w:cs="Arial"/>
          <w:szCs w:val="22"/>
          <w:lang w:eastAsia="en-US"/>
        </w:rPr>
        <w:t xml:space="preserve">national </w:t>
      </w:r>
      <w:r w:rsidRPr="002E3623">
        <w:rPr>
          <w:rFonts w:eastAsiaTheme="minorHAnsi" w:cs="Arial"/>
          <w:szCs w:val="22"/>
          <w:lang w:eastAsia="en-US"/>
        </w:rPr>
        <w:t>Code of Practice</w:t>
      </w:r>
      <w:r w:rsidR="00E97C2F">
        <w:rPr>
          <w:rFonts w:eastAsiaTheme="minorHAnsi" w:cs="Arial"/>
          <w:szCs w:val="22"/>
          <w:lang w:eastAsia="en-US"/>
        </w:rPr>
        <w:t xml:space="preserve"> (CoP)</w:t>
      </w:r>
      <w:r w:rsidRPr="002E3623">
        <w:rPr>
          <w:rFonts w:eastAsiaTheme="minorHAnsi" w:cs="Arial"/>
          <w:szCs w:val="22"/>
          <w:lang w:eastAsia="en-US"/>
        </w:rPr>
        <w:t>.</w:t>
      </w:r>
      <w:r>
        <w:rPr>
          <w:rFonts w:eastAsiaTheme="minorHAnsi" w:cs="Arial"/>
          <w:szCs w:val="22"/>
          <w:lang w:eastAsia="en-US"/>
        </w:rPr>
        <w:t xml:space="preserve"> </w:t>
      </w:r>
      <w:r w:rsidRPr="002E3623">
        <w:rPr>
          <w:rFonts w:eastAsiaTheme="minorHAnsi" w:cs="Arial"/>
          <w:szCs w:val="22"/>
          <w:lang w:eastAsia="en-US"/>
        </w:rPr>
        <w:t xml:space="preserve"> </w:t>
      </w:r>
      <w:r w:rsidR="00924700">
        <w:rPr>
          <w:rFonts w:eastAsiaTheme="minorHAnsi" w:cs="Arial"/>
          <w:szCs w:val="22"/>
          <w:lang w:eastAsia="en-US"/>
        </w:rPr>
        <w:t>The CoP was implemented some time ago, but compliance was raised as an issue as part of the junior doctor contract negotiations (as a non-contractual matter).</w:t>
      </w:r>
      <w:r w:rsidR="00C809BA">
        <w:rPr>
          <w:rFonts w:eastAsiaTheme="minorHAnsi" w:cs="Arial"/>
          <w:szCs w:val="22"/>
          <w:lang w:eastAsia="en-US"/>
        </w:rPr>
        <w:t xml:space="preserve">. </w:t>
      </w:r>
      <w:r w:rsidR="00924700">
        <w:rPr>
          <w:rFonts w:eastAsiaTheme="minorHAnsi" w:cs="Arial"/>
          <w:szCs w:val="22"/>
          <w:lang w:eastAsia="en-US"/>
        </w:rPr>
        <w:t>The CoP has since been updated and approved by the BMA, NHS Employers and HEE, and the new version will be implemented in November 2016.</w:t>
      </w:r>
    </w:p>
    <w:p w14:paraId="422542C0" w14:textId="77777777" w:rsidR="00E903AF" w:rsidRDefault="00E903AF" w:rsidP="00E765C6">
      <w:pPr>
        <w:rPr>
          <w:rFonts w:eastAsiaTheme="minorHAnsi" w:cs="Arial"/>
          <w:szCs w:val="22"/>
          <w:lang w:eastAsia="en-US"/>
        </w:rPr>
      </w:pPr>
    </w:p>
    <w:p w14:paraId="2A7E9BB0" w14:textId="77777777" w:rsidR="00E903AF" w:rsidRDefault="00E903AF" w:rsidP="00E765C6">
      <w:pPr>
        <w:rPr>
          <w:rFonts w:eastAsiaTheme="minorHAnsi" w:cs="Arial"/>
          <w:szCs w:val="22"/>
          <w:lang w:eastAsia="en-US"/>
        </w:rPr>
      </w:pPr>
      <w:r>
        <w:rPr>
          <w:rFonts w:eastAsiaTheme="minorHAnsi" w:cs="Arial"/>
          <w:szCs w:val="22"/>
          <w:lang w:eastAsia="en-US"/>
        </w:rPr>
        <w:t>This Standard Operating Procedure relates to the rotational aspect of the CoP.</w:t>
      </w:r>
    </w:p>
    <w:p w14:paraId="562783E8" w14:textId="77777777" w:rsidR="00131E0B" w:rsidRDefault="00131E0B" w:rsidP="00E765C6">
      <w:pPr>
        <w:rPr>
          <w:rFonts w:eastAsiaTheme="minorHAnsi" w:cs="Arial"/>
          <w:szCs w:val="22"/>
          <w:lang w:eastAsia="en-US"/>
        </w:rPr>
      </w:pPr>
    </w:p>
    <w:p w14:paraId="44FC345F" w14:textId="77777777" w:rsidR="00131E0B" w:rsidRDefault="00131E0B" w:rsidP="00E765C6">
      <w:pPr>
        <w:rPr>
          <w:rFonts w:eastAsiaTheme="minorHAnsi" w:cs="Arial"/>
          <w:szCs w:val="22"/>
          <w:lang w:eastAsia="en-US"/>
        </w:rPr>
      </w:pPr>
      <w:r>
        <w:rPr>
          <w:rFonts w:eastAsiaTheme="minorHAnsi" w:cs="Arial"/>
          <w:szCs w:val="22"/>
          <w:lang w:eastAsia="en-US"/>
        </w:rPr>
        <w:t>Every fortnight a ‘</w:t>
      </w:r>
      <w:r w:rsidR="00AA135A">
        <w:rPr>
          <w:rFonts w:eastAsiaTheme="minorHAnsi" w:cs="Arial"/>
          <w:szCs w:val="22"/>
          <w:lang w:eastAsia="en-US"/>
        </w:rPr>
        <w:t>Rotation</w:t>
      </w:r>
      <w:r>
        <w:rPr>
          <w:rFonts w:eastAsiaTheme="minorHAnsi" w:cs="Arial"/>
          <w:szCs w:val="22"/>
          <w:lang w:eastAsia="en-US"/>
        </w:rPr>
        <w:t xml:space="preserve"> Tracker’ document is circulated to TPDs, HoS, HEE YH staff and LEPs which updates all stakeholders on the progress on rotations. </w:t>
      </w:r>
    </w:p>
    <w:p w14:paraId="1A71F93B" w14:textId="77777777" w:rsidR="00E3172C" w:rsidRDefault="00E3172C" w:rsidP="00E765C6">
      <w:pPr>
        <w:rPr>
          <w:rFonts w:eastAsiaTheme="minorHAnsi" w:cs="Arial"/>
          <w:szCs w:val="22"/>
          <w:lang w:eastAsia="en-US"/>
        </w:rPr>
      </w:pPr>
    </w:p>
    <w:p w14:paraId="2173024F" w14:textId="77777777" w:rsidR="004440B4" w:rsidRDefault="004440B4" w:rsidP="00E765C6">
      <w:pPr>
        <w:rPr>
          <w:rFonts w:eastAsiaTheme="minorHAnsi" w:cs="Arial"/>
          <w:szCs w:val="22"/>
          <w:lang w:eastAsia="en-US"/>
        </w:rPr>
      </w:pPr>
      <w:r>
        <w:rPr>
          <w:rFonts w:eastAsiaTheme="minorHAnsi" w:cs="Arial"/>
          <w:szCs w:val="22"/>
          <w:lang w:eastAsia="en-US"/>
        </w:rPr>
        <w:t>In relation to the rotat</w:t>
      </w:r>
      <w:r w:rsidR="000A4F21">
        <w:rPr>
          <w:rFonts w:eastAsiaTheme="minorHAnsi" w:cs="Arial"/>
          <w:szCs w:val="22"/>
          <w:lang w:eastAsia="en-US"/>
        </w:rPr>
        <w:t>ion circulation and communication to Local Educational Providers (LEPs) and trainee</w:t>
      </w:r>
      <w:r>
        <w:rPr>
          <w:rFonts w:eastAsiaTheme="minorHAnsi" w:cs="Arial"/>
          <w:szCs w:val="22"/>
          <w:lang w:eastAsia="en-US"/>
        </w:rPr>
        <w:t xml:space="preserve"> element</w:t>
      </w:r>
      <w:r w:rsidR="000A4F21">
        <w:rPr>
          <w:rFonts w:eastAsiaTheme="minorHAnsi" w:cs="Arial"/>
          <w:szCs w:val="22"/>
          <w:lang w:eastAsia="en-US"/>
        </w:rPr>
        <w:t>s</w:t>
      </w:r>
      <w:r>
        <w:rPr>
          <w:rFonts w:eastAsiaTheme="minorHAnsi" w:cs="Arial"/>
          <w:szCs w:val="22"/>
          <w:lang w:eastAsia="en-US"/>
        </w:rPr>
        <w:t>, the agreed timescales are as follow</w:t>
      </w:r>
      <w:r w:rsidR="00924700">
        <w:rPr>
          <w:rFonts w:eastAsiaTheme="minorHAnsi" w:cs="Arial"/>
          <w:szCs w:val="22"/>
          <w:lang w:eastAsia="en-US"/>
        </w:rPr>
        <w:t>s</w:t>
      </w:r>
      <w:r>
        <w:rPr>
          <w:rFonts w:eastAsiaTheme="minorHAnsi" w:cs="Arial"/>
          <w:szCs w:val="22"/>
          <w:lang w:eastAsia="en-US"/>
        </w:rPr>
        <w:t>:</w:t>
      </w:r>
    </w:p>
    <w:p w14:paraId="542C5B2D" w14:textId="77777777" w:rsidR="00E765C6" w:rsidRDefault="00E765C6" w:rsidP="00E765C6"/>
    <w:p w14:paraId="44B2BC51" w14:textId="77777777" w:rsidR="00E765C6" w:rsidRDefault="00E765C6" w:rsidP="00E765C6">
      <w:r>
        <w:rPr>
          <w:b/>
        </w:rPr>
        <w:t>5</w:t>
      </w:r>
      <w:r w:rsidRPr="00D84EE1">
        <w:rPr>
          <w:b/>
        </w:rPr>
        <w:t xml:space="preserve"> </w:t>
      </w:r>
      <w:r w:rsidR="00C809BA">
        <w:rPr>
          <w:b/>
        </w:rPr>
        <w:t>m</w:t>
      </w:r>
      <w:r w:rsidRPr="00D84EE1">
        <w:rPr>
          <w:b/>
        </w:rPr>
        <w:t>onths prior to rotation date</w:t>
      </w:r>
      <w:r>
        <w:t xml:space="preserve">. The </w:t>
      </w:r>
      <w:r w:rsidR="004440B4">
        <w:t xml:space="preserve">HEE </w:t>
      </w:r>
      <w:r>
        <w:t>Programme Support Team (PST) responsible for the relevant School/ Specialty will issue rotation requests to Training Programme Directors (TPDs).  This request will include an establishment report confirming number of posts for each rotation</w:t>
      </w:r>
      <w:r w:rsidR="001D3B9C">
        <w:t>,</w:t>
      </w:r>
      <w:r>
        <w:t xml:space="preserve"> and the rotation template.</w:t>
      </w:r>
    </w:p>
    <w:p w14:paraId="17EF49A4" w14:textId="77777777" w:rsidR="00E765C6" w:rsidRDefault="00E765C6" w:rsidP="00E765C6"/>
    <w:p w14:paraId="51E8E6BA" w14:textId="77777777" w:rsidR="001F51B1" w:rsidRDefault="001F51B1" w:rsidP="00E765C6">
      <w:r>
        <w:t xml:space="preserve">The TPD is then responsible for producing the rotation. </w:t>
      </w:r>
    </w:p>
    <w:p w14:paraId="6EE858B7" w14:textId="77777777" w:rsidR="001F51B1" w:rsidRDefault="001F51B1" w:rsidP="00E765C6"/>
    <w:p w14:paraId="62A05AF1" w14:textId="77777777" w:rsidR="001F51B1" w:rsidRPr="00277ED2" w:rsidRDefault="001F51B1" w:rsidP="001F51B1">
      <w:pPr>
        <w:rPr>
          <w:color w:val="000000" w:themeColor="text1"/>
        </w:rPr>
      </w:pPr>
      <w:r>
        <w:t>The rotation information must be supplied on the rotation template and information presented in any other format will not be accepted; this is because the format of the rotation has been agreed by HEE with local education providers</w:t>
      </w:r>
      <w:r w:rsidR="00924700">
        <w:t>, and complies with national audit requirements</w:t>
      </w:r>
      <w:r>
        <w:t xml:space="preserve">. </w:t>
      </w:r>
      <w:r w:rsidRPr="00277ED2">
        <w:rPr>
          <w:color w:val="000000" w:themeColor="text1"/>
        </w:rPr>
        <w:t xml:space="preserve">If the information is provided by </w:t>
      </w:r>
      <w:r>
        <w:rPr>
          <w:color w:val="000000" w:themeColor="text1"/>
        </w:rPr>
        <w:t>administrators</w:t>
      </w:r>
      <w:r w:rsidR="00924700">
        <w:rPr>
          <w:color w:val="000000" w:themeColor="text1"/>
        </w:rPr>
        <w:t xml:space="preserve"> outside of the HEE local office</w:t>
      </w:r>
      <w:r>
        <w:rPr>
          <w:color w:val="000000" w:themeColor="text1"/>
        </w:rPr>
        <w:t xml:space="preserve"> supporting the TPD, </w:t>
      </w:r>
      <w:r w:rsidRPr="00277ED2">
        <w:rPr>
          <w:color w:val="000000" w:themeColor="text1"/>
        </w:rPr>
        <w:t>the TPD MUST be</w:t>
      </w:r>
      <w:r>
        <w:rPr>
          <w:color w:val="000000" w:themeColor="text1"/>
        </w:rPr>
        <w:t xml:space="preserve"> copied in</w:t>
      </w:r>
      <w:r w:rsidR="00E903AF">
        <w:rPr>
          <w:color w:val="000000" w:themeColor="text1"/>
        </w:rPr>
        <w:t>, along with PST.</w:t>
      </w:r>
    </w:p>
    <w:p w14:paraId="3CCDB022" w14:textId="77777777" w:rsidR="001F51B1" w:rsidRDefault="001F51B1" w:rsidP="001F51B1">
      <w:pPr>
        <w:pStyle w:val="ListParagraph"/>
      </w:pPr>
    </w:p>
    <w:p w14:paraId="39EAE75D" w14:textId="77777777" w:rsidR="001F51B1" w:rsidRDefault="001F51B1" w:rsidP="001F51B1">
      <w:pPr>
        <w:pStyle w:val="ListParagraph"/>
        <w:numPr>
          <w:ilvl w:val="0"/>
          <w:numId w:val="2"/>
        </w:numPr>
      </w:pPr>
      <w:r>
        <w:t>The TPD should validate the establishment data and inform the PST of any amendments/queries. This must be provided on the rotation template.</w:t>
      </w:r>
    </w:p>
    <w:p w14:paraId="03BA9A8E" w14:textId="77777777" w:rsidR="001F51B1" w:rsidRDefault="001F51B1" w:rsidP="001F51B1"/>
    <w:p w14:paraId="28C7DCCE" w14:textId="77777777" w:rsidR="001F51B1" w:rsidRDefault="001F51B1" w:rsidP="001F51B1">
      <w:pPr>
        <w:pStyle w:val="ListParagraph"/>
        <w:numPr>
          <w:ilvl w:val="0"/>
          <w:numId w:val="2"/>
        </w:numPr>
      </w:pPr>
      <w:r>
        <w:t>The number of trainees on the rotation must not exceed the number of posts on the establishment</w:t>
      </w:r>
      <w:r w:rsidR="00924700">
        <w:t xml:space="preserve"> unless LTFT trainees are sharing a slot or there are supernumerary approved trainees</w:t>
      </w:r>
    </w:p>
    <w:p w14:paraId="166E8C8D" w14:textId="77777777" w:rsidR="001F51B1" w:rsidRDefault="001F51B1" w:rsidP="001F51B1"/>
    <w:p w14:paraId="2A12BC2A" w14:textId="77777777" w:rsidR="001F51B1" w:rsidRDefault="001F51B1" w:rsidP="001F51B1">
      <w:pPr>
        <w:pStyle w:val="ListParagraph"/>
        <w:numPr>
          <w:ilvl w:val="0"/>
          <w:numId w:val="2"/>
        </w:numPr>
      </w:pPr>
      <w:r>
        <w:t>Trainees who are on maternity or long term sick leave</w:t>
      </w:r>
      <w:r w:rsidR="00924700">
        <w:rPr>
          <w:b/>
        </w:rPr>
        <w:t xml:space="preserve"> should not normally</w:t>
      </w:r>
      <w:r w:rsidRPr="00D84EE1">
        <w:rPr>
          <w:b/>
        </w:rPr>
        <w:t xml:space="preserve"> rotate</w:t>
      </w:r>
      <w:r>
        <w:t>.  They must remain at the Trust where they were placed when their maternity leave started because of employer/financial responsibility. Trainees on maternity leave will remain in an established post as they have a right to return to work and a post must be available for them.</w:t>
      </w:r>
      <w:r w:rsidR="003331A8">
        <w:t xml:space="preserve"> Trainees can be rotated immediately upon returning from maternity leave.</w:t>
      </w:r>
    </w:p>
    <w:p w14:paraId="2BC960EA" w14:textId="77777777" w:rsidR="001F51B1" w:rsidRDefault="001F51B1" w:rsidP="001F51B1"/>
    <w:p w14:paraId="6797B9B0" w14:textId="77777777" w:rsidR="001F51B1" w:rsidRDefault="001F51B1" w:rsidP="001F51B1">
      <w:pPr>
        <w:pStyle w:val="ListParagraph"/>
        <w:numPr>
          <w:ilvl w:val="0"/>
          <w:numId w:val="2"/>
        </w:numPr>
      </w:pPr>
      <w:r>
        <w:lastRenderedPageBreak/>
        <w:t xml:space="preserve">Gaps in service created by maternity leave must not be covered by a substantive trainee unless there is written agreement from the </w:t>
      </w:r>
      <w:r w:rsidR="00131E0B">
        <w:t>LEP</w:t>
      </w:r>
      <w:r w:rsidR="00AA135A">
        <w:t xml:space="preserve"> to the TPD</w:t>
      </w:r>
      <w:r>
        <w:t xml:space="preserve"> that they agree to filling the gap with no additional funding from HEE.</w:t>
      </w:r>
    </w:p>
    <w:p w14:paraId="42BB761F" w14:textId="77777777" w:rsidR="001F51B1" w:rsidRDefault="001F51B1" w:rsidP="001F51B1">
      <w:pPr>
        <w:pStyle w:val="ListParagraph"/>
      </w:pPr>
    </w:p>
    <w:p w14:paraId="2CAF4D4B" w14:textId="77777777" w:rsidR="001F51B1" w:rsidRPr="00E259AA" w:rsidRDefault="001F51B1" w:rsidP="001F51B1">
      <w:pPr>
        <w:pStyle w:val="ListParagraph"/>
        <w:numPr>
          <w:ilvl w:val="0"/>
          <w:numId w:val="2"/>
        </w:numPr>
      </w:pPr>
      <w:r>
        <w:t xml:space="preserve">Where a rotation is not submitted to PST within these timescales, the agreed escalation process (Deputy Dean and Head of School) will be triggered, unless there is an exceptional reason for the delay. PST should discuss this with the </w:t>
      </w:r>
      <w:r w:rsidR="00924700">
        <w:t>PSM</w:t>
      </w:r>
      <w:r w:rsidR="00E903AF">
        <w:t xml:space="preserve"> </w:t>
      </w:r>
      <w:r>
        <w:t xml:space="preserve">or Business Manager if they are unsure. </w:t>
      </w:r>
    </w:p>
    <w:p w14:paraId="5C34FB67" w14:textId="77777777" w:rsidR="001F51B1" w:rsidRDefault="001F51B1" w:rsidP="001F51B1"/>
    <w:p w14:paraId="779D915B" w14:textId="77777777" w:rsidR="001F51B1" w:rsidRDefault="001F51B1" w:rsidP="00E765C6"/>
    <w:p w14:paraId="72DE4252" w14:textId="77777777" w:rsidR="00E765C6" w:rsidRDefault="00E765C6" w:rsidP="00E765C6">
      <w:r>
        <w:rPr>
          <w:b/>
        </w:rPr>
        <w:t>4</w:t>
      </w:r>
      <w:r w:rsidRPr="00D84EE1">
        <w:rPr>
          <w:b/>
        </w:rPr>
        <w:t xml:space="preserve"> </w:t>
      </w:r>
      <w:r w:rsidR="00C809BA">
        <w:rPr>
          <w:b/>
        </w:rPr>
        <w:t>m</w:t>
      </w:r>
      <w:r w:rsidRPr="00D84EE1">
        <w:rPr>
          <w:b/>
        </w:rPr>
        <w:t>onths prior to rotation date</w:t>
      </w:r>
      <w:r>
        <w:t xml:space="preserve">. Rotation information must be supplied to the relevant PST by the TPD no later than 4 months in advance of the rotation date.  </w:t>
      </w:r>
    </w:p>
    <w:p w14:paraId="53A34424" w14:textId="77777777" w:rsidR="00AA135A" w:rsidRDefault="00AA135A" w:rsidP="00E765C6"/>
    <w:p w14:paraId="3979F8C3" w14:textId="77777777" w:rsidR="0045579C" w:rsidRPr="00277ED2" w:rsidRDefault="00E765C6" w:rsidP="0045579C">
      <w:pPr>
        <w:rPr>
          <w:color w:val="000000" w:themeColor="text1"/>
        </w:rPr>
      </w:pPr>
      <w:r>
        <w:rPr>
          <w:b/>
        </w:rPr>
        <w:t>3</w:t>
      </w:r>
      <w:r w:rsidRPr="00D84EE1">
        <w:rPr>
          <w:b/>
        </w:rPr>
        <w:t xml:space="preserve"> months</w:t>
      </w:r>
      <w:r w:rsidR="009E44F6">
        <w:rPr>
          <w:b/>
        </w:rPr>
        <w:t xml:space="preserve"> (12 weeks)</w:t>
      </w:r>
      <w:r w:rsidRPr="00D84EE1">
        <w:rPr>
          <w:b/>
        </w:rPr>
        <w:t xml:space="preserve"> prior to Rotation Date</w:t>
      </w:r>
      <w:r>
        <w:t>.  Rotation details will be notified to the Trusts and the Trainees by the PST</w:t>
      </w:r>
      <w:r w:rsidR="002E3623">
        <w:t>.</w:t>
      </w:r>
      <w:r>
        <w:t xml:space="preserve">  This is to allow sufficient time for relevant employment checks to take place.</w:t>
      </w:r>
      <w:r w:rsidR="0045579C">
        <w:t xml:space="preserve">  </w:t>
      </w:r>
      <w:r w:rsidR="0045579C" w:rsidRPr="00277ED2">
        <w:rPr>
          <w:color w:val="000000" w:themeColor="text1"/>
        </w:rPr>
        <w:t xml:space="preserve">This includes Primary Care. </w:t>
      </w:r>
      <w:r w:rsidR="001D3B9C">
        <w:rPr>
          <w:color w:val="000000" w:themeColor="text1"/>
        </w:rPr>
        <w:t xml:space="preserve">GP </w:t>
      </w:r>
      <w:r w:rsidR="0045579C" w:rsidRPr="00277ED2">
        <w:rPr>
          <w:color w:val="000000" w:themeColor="text1"/>
        </w:rPr>
        <w:t>Scheme admin are no longer required to contact the trainees themselves</w:t>
      </w:r>
      <w:r w:rsidR="001D3B9C">
        <w:rPr>
          <w:color w:val="000000" w:themeColor="text1"/>
        </w:rPr>
        <w:t>,</w:t>
      </w:r>
      <w:r w:rsidR="0045579C" w:rsidRPr="00277ED2">
        <w:rPr>
          <w:color w:val="000000" w:themeColor="text1"/>
        </w:rPr>
        <w:t xml:space="preserve"> as this will be done by the relevant PST.</w:t>
      </w:r>
    </w:p>
    <w:p w14:paraId="174928F5" w14:textId="77777777" w:rsidR="00E765C6" w:rsidRPr="00277ED2" w:rsidRDefault="00E765C6" w:rsidP="00E765C6">
      <w:pPr>
        <w:rPr>
          <w:color w:val="000000" w:themeColor="text1"/>
        </w:rPr>
      </w:pPr>
    </w:p>
    <w:p w14:paraId="6CB509DB" w14:textId="77777777" w:rsidR="00E765C6" w:rsidRDefault="00E765C6" w:rsidP="00E765C6">
      <w:r>
        <w:t>Any changes to the agreed rotation should be notified to the PST as soon as they arise.</w:t>
      </w:r>
    </w:p>
    <w:p w14:paraId="78480201" w14:textId="77777777" w:rsidR="00E765C6" w:rsidRDefault="00E765C6" w:rsidP="00E765C6"/>
    <w:p w14:paraId="7D81CC7B" w14:textId="77777777" w:rsidR="00E765C6" w:rsidRDefault="00E765C6" w:rsidP="00E765C6">
      <w:r>
        <w:t>For Specialties that do not rotate i.e. remain in one location, we request the rotation grid be completed and the establishment verified once a year in August.</w:t>
      </w:r>
    </w:p>
    <w:p w14:paraId="778E8F14" w14:textId="77777777" w:rsidR="00E765C6" w:rsidRDefault="00E765C6" w:rsidP="00E765C6">
      <w:pPr>
        <w:rPr>
          <w:b/>
        </w:rPr>
      </w:pPr>
    </w:p>
    <w:p w14:paraId="3313F0F8" w14:textId="77777777" w:rsidR="00E765C6" w:rsidRDefault="00E765C6" w:rsidP="00E903AF">
      <w:r>
        <w:rPr>
          <w:b/>
        </w:rPr>
        <w:t>LTFT/Flexible:</w:t>
      </w:r>
      <w:r w:rsidR="00E903AF">
        <w:t xml:space="preserve"> Trainees working on a LTFT basis can be either be placed in a full time post, or into a slot-share. It is the TPD’s responsibility to </w:t>
      </w:r>
      <w:r w:rsidR="0021354D">
        <w:t xml:space="preserve">manage </w:t>
      </w:r>
      <w:r w:rsidR="00E903AF">
        <w:t>the latter</w:t>
      </w:r>
      <w:r w:rsidR="0021354D">
        <w:t xml:space="preserve"> arrangement.</w:t>
      </w:r>
      <w:r w:rsidR="00F92BCA">
        <w:t xml:space="preserve"> HEEYH would support slot-sharing trainees approved to work at 60% and would fund the additional 20% in accordance. </w:t>
      </w:r>
    </w:p>
    <w:p w14:paraId="1F1039EE" w14:textId="77777777" w:rsidR="00E765C6" w:rsidRDefault="00E765C6" w:rsidP="00E765C6"/>
    <w:p w14:paraId="4C8B1F26" w14:textId="77777777" w:rsidR="00E3172C" w:rsidRDefault="00E765C6" w:rsidP="00E765C6">
      <w:r>
        <w:t xml:space="preserve">There are occasions when supernumerary funding may be available, but this is reserved for </w:t>
      </w:r>
    </w:p>
    <w:p w14:paraId="1036DDC8" w14:textId="77777777" w:rsidR="00E765C6" w:rsidRDefault="000A4F21" w:rsidP="00E765C6">
      <w:r>
        <w:t>trainees</w:t>
      </w:r>
      <w:r w:rsidR="00E765C6">
        <w:t xml:space="preserve"> who require remedial support or may have specific health related requirements</w:t>
      </w:r>
      <w:r>
        <w:t>,</w:t>
      </w:r>
      <w:r w:rsidR="00E765C6">
        <w:t xml:space="preserve"> and is at the discretion of the Deputy Dean.</w:t>
      </w:r>
      <w:r w:rsidR="001D3B9C">
        <w:t xml:space="preserve"> This process should be managed outside of the rotational mechanism.</w:t>
      </w:r>
    </w:p>
    <w:p w14:paraId="23E7077E" w14:textId="77777777" w:rsidR="00131E0B" w:rsidRPr="00AA5882" w:rsidRDefault="00131E0B" w:rsidP="00E765C6"/>
    <w:p w14:paraId="71172B56" w14:textId="77777777" w:rsidR="00C612E5" w:rsidRDefault="00C612E5" w:rsidP="00E765C6">
      <w:pPr>
        <w:rPr>
          <w:b/>
        </w:rPr>
      </w:pPr>
    </w:p>
    <w:p w14:paraId="20E675C9" w14:textId="77777777" w:rsidR="00E765C6" w:rsidRDefault="00E765C6" w:rsidP="00E765C6">
      <w:pPr>
        <w:rPr>
          <w:b/>
        </w:rPr>
      </w:pPr>
      <w:r w:rsidRPr="00F23404">
        <w:rPr>
          <w:b/>
        </w:rPr>
        <w:t>OOP/OOPE/OOPT</w:t>
      </w:r>
    </w:p>
    <w:p w14:paraId="44415718" w14:textId="77777777" w:rsidR="00E765C6" w:rsidRDefault="00E765C6" w:rsidP="00E765C6">
      <w:pPr>
        <w:rPr>
          <w:b/>
        </w:rPr>
      </w:pPr>
    </w:p>
    <w:p w14:paraId="19B6FA9B" w14:textId="77777777" w:rsidR="00E765C6" w:rsidRPr="00A64FF5" w:rsidRDefault="00AC35D4" w:rsidP="00E765C6">
      <w:r>
        <w:t>Trainees on OOP should be added to the relevant section of the rotational grid, along with the start and finish dates of the out of programme placement.</w:t>
      </w:r>
    </w:p>
    <w:p w14:paraId="1BB8B958" w14:textId="77777777" w:rsidR="00E765C6" w:rsidRDefault="00E765C6" w:rsidP="00E765C6"/>
    <w:p w14:paraId="18AB1ED1" w14:textId="77777777" w:rsidR="00E765C6" w:rsidRDefault="00E765C6" w:rsidP="00E765C6"/>
    <w:p w14:paraId="77C9F417" w14:textId="77777777" w:rsidR="00E765C6" w:rsidRPr="00C612E5" w:rsidRDefault="00E765C6" w:rsidP="00E765C6">
      <w:pPr>
        <w:rPr>
          <w:b/>
          <w:sz w:val="24"/>
        </w:rPr>
      </w:pPr>
      <w:r w:rsidRPr="00C612E5">
        <w:rPr>
          <w:b/>
          <w:sz w:val="24"/>
        </w:rPr>
        <w:t xml:space="preserve">Academic </w:t>
      </w:r>
    </w:p>
    <w:p w14:paraId="19A61117" w14:textId="77777777" w:rsidR="00E765C6" w:rsidRPr="00C612E5" w:rsidRDefault="00E765C6" w:rsidP="00E765C6">
      <w:pPr>
        <w:rPr>
          <w:sz w:val="24"/>
        </w:rPr>
      </w:pPr>
    </w:p>
    <w:p w14:paraId="12EA6737" w14:textId="77777777" w:rsidR="00E765C6" w:rsidRDefault="000A4F21" w:rsidP="00E765C6">
      <w:pPr>
        <w:rPr>
          <w:szCs w:val="22"/>
        </w:rPr>
      </w:pPr>
      <w:r>
        <w:rPr>
          <w:szCs w:val="22"/>
        </w:rPr>
        <w:t>It is important that these t</w:t>
      </w:r>
      <w:r w:rsidR="00E765C6" w:rsidRPr="00C7347E">
        <w:rPr>
          <w:szCs w:val="22"/>
        </w:rPr>
        <w:t xml:space="preserve">rainees are </w:t>
      </w:r>
      <w:r w:rsidR="00E765C6">
        <w:rPr>
          <w:szCs w:val="22"/>
        </w:rPr>
        <w:t xml:space="preserve">identified on the rotation spreadsheet </w:t>
      </w:r>
      <w:r w:rsidR="00D71263">
        <w:rPr>
          <w:szCs w:val="22"/>
        </w:rPr>
        <w:t xml:space="preserve">in the specific column </w:t>
      </w:r>
      <w:r w:rsidR="00E765C6">
        <w:rPr>
          <w:szCs w:val="22"/>
        </w:rPr>
        <w:t>as along with the Trusts, the relevant University needs to be advised of the Trust they are rotating to.</w:t>
      </w:r>
      <w:r w:rsidR="00E765C6" w:rsidRPr="00C7347E">
        <w:rPr>
          <w:szCs w:val="22"/>
        </w:rPr>
        <w:t xml:space="preserve"> </w:t>
      </w:r>
    </w:p>
    <w:p w14:paraId="458663E0" w14:textId="77777777" w:rsidR="00B53254" w:rsidRDefault="00B53254" w:rsidP="00E765C6">
      <w:pPr>
        <w:rPr>
          <w:szCs w:val="22"/>
        </w:rPr>
      </w:pPr>
    </w:p>
    <w:p w14:paraId="4FB2595F" w14:textId="77777777" w:rsidR="00B53254" w:rsidRDefault="00B53254" w:rsidP="00E765C6">
      <w:pPr>
        <w:rPr>
          <w:szCs w:val="22"/>
        </w:rPr>
      </w:pPr>
      <w:r>
        <w:rPr>
          <w:szCs w:val="22"/>
        </w:rPr>
        <w:t>Please see Appendix 1 for Academic specific guidance.</w:t>
      </w:r>
    </w:p>
    <w:p w14:paraId="081B78EB" w14:textId="77777777" w:rsidR="00AA135A" w:rsidRDefault="00AA135A" w:rsidP="00E765C6">
      <w:pPr>
        <w:rPr>
          <w:b/>
          <w:szCs w:val="22"/>
        </w:rPr>
      </w:pPr>
    </w:p>
    <w:p w14:paraId="20FA75F6" w14:textId="77777777" w:rsidR="00277ED2" w:rsidRDefault="00277ED2" w:rsidP="00E765C6">
      <w:pPr>
        <w:rPr>
          <w:b/>
          <w:szCs w:val="22"/>
        </w:rPr>
      </w:pPr>
      <w:r w:rsidRPr="00277ED2">
        <w:rPr>
          <w:b/>
          <w:szCs w:val="22"/>
        </w:rPr>
        <w:lastRenderedPageBreak/>
        <w:t>T</w:t>
      </w:r>
      <w:r w:rsidR="0041362D">
        <w:rPr>
          <w:b/>
          <w:szCs w:val="22"/>
        </w:rPr>
        <w:t xml:space="preserve">ier </w:t>
      </w:r>
      <w:r w:rsidRPr="00277ED2">
        <w:rPr>
          <w:b/>
          <w:szCs w:val="22"/>
        </w:rPr>
        <w:t>2/4</w:t>
      </w:r>
    </w:p>
    <w:p w14:paraId="438C26BF" w14:textId="77777777" w:rsidR="00277ED2" w:rsidRDefault="00277ED2" w:rsidP="00E765C6">
      <w:pPr>
        <w:rPr>
          <w:b/>
          <w:szCs w:val="22"/>
        </w:rPr>
      </w:pPr>
    </w:p>
    <w:p w14:paraId="72B7590E" w14:textId="77777777" w:rsidR="00277ED2" w:rsidRDefault="00131E0B" w:rsidP="00E765C6">
      <w:pPr>
        <w:rPr>
          <w:szCs w:val="22"/>
        </w:rPr>
      </w:pPr>
      <w:r>
        <w:rPr>
          <w:szCs w:val="22"/>
        </w:rPr>
        <w:t>The PST will highlight  trainees who have a Tier 2 or Tier 4 visa on the</w:t>
      </w:r>
      <w:r w:rsidR="00277ED2">
        <w:rPr>
          <w:szCs w:val="22"/>
        </w:rPr>
        <w:t xml:space="preserve"> rotation spreadsheet</w:t>
      </w:r>
      <w:r w:rsidR="00D71263">
        <w:rPr>
          <w:szCs w:val="22"/>
        </w:rPr>
        <w:t xml:space="preserve"> in the ‘Comments’ column</w:t>
      </w:r>
      <w:r>
        <w:rPr>
          <w:szCs w:val="22"/>
        </w:rPr>
        <w:t>. The TPD is not responsible for adding this information, but they should be aware about which trainees have a visa, due to</w:t>
      </w:r>
      <w:r w:rsidR="003331A8">
        <w:rPr>
          <w:szCs w:val="22"/>
        </w:rPr>
        <w:t xml:space="preserve"> the related</w:t>
      </w:r>
      <w:r>
        <w:rPr>
          <w:szCs w:val="22"/>
        </w:rPr>
        <w:t xml:space="preserve"> training implications. </w:t>
      </w:r>
      <w:r w:rsidR="00277ED2">
        <w:rPr>
          <w:szCs w:val="22"/>
        </w:rPr>
        <w:t>.</w:t>
      </w:r>
      <w:r w:rsidR="003331A8">
        <w:rPr>
          <w:szCs w:val="22"/>
        </w:rPr>
        <w:t xml:space="preserve">It is crucial that the Tier 2 team are notified about these trainees (PST) at the earliest possible opportunity to ensure that the relevant visas are applied for within the requisite timescales. </w:t>
      </w:r>
    </w:p>
    <w:p w14:paraId="7EE06EF6" w14:textId="77777777" w:rsidR="00E765C6" w:rsidRDefault="00E765C6" w:rsidP="00E765C6">
      <w:pPr>
        <w:rPr>
          <w:b/>
          <w:sz w:val="24"/>
        </w:rPr>
      </w:pPr>
    </w:p>
    <w:p w14:paraId="030DBD65" w14:textId="77777777" w:rsidR="00E765C6" w:rsidRDefault="00E765C6" w:rsidP="00E765C6">
      <w:pPr>
        <w:rPr>
          <w:b/>
          <w:sz w:val="24"/>
        </w:rPr>
      </w:pPr>
      <w:r w:rsidRPr="00215484">
        <w:rPr>
          <w:b/>
          <w:sz w:val="24"/>
        </w:rPr>
        <w:t>Proce</w:t>
      </w:r>
      <w:r w:rsidR="00D71263">
        <w:rPr>
          <w:b/>
          <w:sz w:val="24"/>
        </w:rPr>
        <w:t xml:space="preserve">ss </w:t>
      </w:r>
    </w:p>
    <w:p w14:paraId="41278011" w14:textId="77777777" w:rsidR="00FD20F9" w:rsidRDefault="00FD20F9" w:rsidP="00E765C6">
      <w:pPr>
        <w:rPr>
          <w:b/>
          <w:sz w:val="24"/>
        </w:rPr>
      </w:pPr>
    </w:p>
    <w:p w14:paraId="2368E4BF" w14:textId="77777777" w:rsidR="00FD20F9" w:rsidRDefault="00FD20F9" w:rsidP="00E765C6">
      <w:pPr>
        <w:rPr>
          <w:b/>
          <w:sz w:val="24"/>
        </w:rPr>
      </w:pPr>
    </w:p>
    <w:p w14:paraId="0A1C3255" w14:textId="77777777" w:rsidR="00FD20F9" w:rsidRPr="00504DCE" w:rsidRDefault="00FD20F9" w:rsidP="00E765C6">
      <w:pPr>
        <w:rPr>
          <w:i/>
          <w:sz w:val="24"/>
        </w:rPr>
      </w:pPr>
      <w:r w:rsidRPr="00504DCE">
        <w:rPr>
          <w:i/>
          <w:sz w:val="24"/>
        </w:rPr>
        <w:t>5 months:</w:t>
      </w:r>
    </w:p>
    <w:p w14:paraId="76C38A2B" w14:textId="77777777" w:rsidR="00FD20F9" w:rsidRDefault="00FD20F9" w:rsidP="00E765C6">
      <w:pPr>
        <w:rPr>
          <w:b/>
          <w:sz w:val="24"/>
        </w:rPr>
      </w:pPr>
    </w:p>
    <w:p w14:paraId="469882AA" w14:textId="77777777" w:rsidR="00FD20F9" w:rsidRPr="00504DCE" w:rsidRDefault="00FD20F9" w:rsidP="00504DCE">
      <w:pPr>
        <w:pStyle w:val="ListParagraph"/>
        <w:numPr>
          <w:ilvl w:val="0"/>
          <w:numId w:val="7"/>
        </w:numPr>
        <w:rPr>
          <w:b/>
          <w:sz w:val="24"/>
        </w:rPr>
      </w:pPr>
      <w:r>
        <w:t>PST issues a current establishment and rotation template to the relevant TPD</w:t>
      </w:r>
    </w:p>
    <w:p w14:paraId="63D99516" w14:textId="77777777" w:rsidR="00FD20F9" w:rsidRDefault="00FD20F9" w:rsidP="00FD20F9">
      <w:pPr>
        <w:numPr>
          <w:ilvl w:val="0"/>
          <w:numId w:val="7"/>
        </w:numPr>
      </w:pPr>
      <w:r>
        <w:t>TPD validates establishment, completes rotation template and returns to PST</w:t>
      </w:r>
    </w:p>
    <w:p w14:paraId="2D396B53" w14:textId="77777777" w:rsidR="00FD20F9" w:rsidRDefault="00FD20F9">
      <w:pPr>
        <w:rPr>
          <w:b/>
          <w:sz w:val="24"/>
        </w:rPr>
      </w:pPr>
    </w:p>
    <w:p w14:paraId="0ED70C13" w14:textId="77777777" w:rsidR="00FD20F9" w:rsidRPr="00504DCE" w:rsidRDefault="00FD20F9">
      <w:pPr>
        <w:rPr>
          <w:i/>
          <w:sz w:val="24"/>
        </w:rPr>
      </w:pPr>
      <w:r w:rsidRPr="00504DCE">
        <w:rPr>
          <w:i/>
          <w:sz w:val="24"/>
        </w:rPr>
        <w:t>4 months:</w:t>
      </w:r>
    </w:p>
    <w:p w14:paraId="6AF6DBDD" w14:textId="77777777" w:rsidR="00E765C6" w:rsidRDefault="00E765C6" w:rsidP="00E765C6"/>
    <w:p w14:paraId="1B5D9883" w14:textId="77777777" w:rsidR="00FD20F9" w:rsidRDefault="00E765C6" w:rsidP="00504DCE">
      <w:pPr>
        <w:pStyle w:val="ListParagraph"/>
        <w:numPr>
          <w:ilvl w:val="0"/>
          <w:numId w:val="15"/>
        </w:numPr>
      </w:pPr>
      <w:r>
        <w:t xml:space="preserve">PST validates rotation </w:t>
      </w:r>
      <w:r w:rsidR="00E97C2F">
        <w:t xml:space="preserve">and </w:t>
      </w:r>
      <w:r>
        <w:t>raises any queries with TPD</w:t>
      </w:r>
    </w:p>
    <w:p w14:paraId="70B08A5E" w14:textId="77777777" w:rsidR="00FD20F9" w:rsidRDefault="00E765C6" w:rsidP="00504DCE">
      <w:pPr>
        <w:pStyle w:val="ListParagraph"/>
        <w:numPr>
          <w:ilvl w:val="0"/>
          <w:numId w:val="15"/>
        </w:numPr>
      </w:pPr>
      <w:r>
        <w:t xml:space="preserve">Rotation is verified by the </w:t>
      </w:r>
      <w:r w:rsidR="00FF7091">
        <w:t>Programme Support Manager</w:t>
      </w:r>
      <w:r w:rsidR="000F604B">
        <w:t xml:space="preserve"> (</w:t>
      </w:r>
      <w:r w:rsidR="00FF7091">
        <w:t>PSM</w:t>
      </w:r>
      <w:r w:rsidR="000F604B">
        <w:t>) or Programme Support Co-ordinator (PSC)</w:t>
      </w:r>
    </w:p>
    <w:p w14:paraId="3FB91B81" w14:textId="77777777" w:rsidR="00FD20F9" w:rsidRDefault="00FD20F9" w:rsidP="00504DCE"/>
    <w:p w14:paraId="3B60F84F" w14:textId="77777777" w:rsidR="00FD20F9" w:rsidRDefault="00FD20F9" w:rsidP="00FD20F9">
      <w:pPr>
        <w:rPr>
          <w:i/>
          <w:sz w:val="24"/>
        </w:rPr>
      </w:pPr>
      <w:r>
        <w:rPr>
          <w:i/>
          <w:sz w:val="24"/>
        </w:rPr>
        <w:t>3</w:t>
      </w:r>
      <w:r w:rsidRPr="002241AB">
        <w:rPr>
          <w:i/>
          <w:sz w:val="24"/>
        </w:rPr>
        <w:t xml:space="preserve"> months:</w:t>
      </w:r>
    </w:p>
    <w:p w14:paraId="1222BD61" w14:textId="77777777" w:rsidR="00426843" w:rsidRDefault="00426843" w:rsidP="00504DCE"/>
    <w:p w14:paraId="59C7DB13" w14:textId="77777777" w:rsidR="00426843" w:rsidRDefault="00426843" w:rsidP="00504DCE">
      <w:pPr>
        <w:pStyle w:val="ListParagraph"/>
        <w:numPr>
          <w:ilvl w:val="0"/>
          <w:numId w:val="27"/>
        </w:numPr>
      </w:pPr>
      <w:r>
        <w:t>PST issues rotation information to Trusts and Trainees</w:t>
      </w:r>
    </w:p>
    <w:p w14:paraId="632C4184" w14:textId="77777777" w:rsidR="00426843" w:rsidRDefault="00426843" w:rsidP="00426843">
      <w:pPr>
        <w:pStyle w:val="ListParagraph"/>
        <w:numPr>
          <w:ilvl w:val="0"/>
          <w:numId w:val="27"/>
        </w:numPr>
      </w:pPr>
      <w:r>
        <w:t xml:space="preserve">Trainees’ files are updated (including </w:t>
      </w:r>
      <w:proofErr w:type="spellStart"/>
      <w:r>
        <w:t>DiDs</w:t>
      </w:r>
      <w:proofErr w:type="spellEnd"/>
      <w:r>
        <w:t xml:space="preserve"> if relevant)</w:t>
      </w:r>
    </w:p>
    <w:p w14:paraId="33DA4816" w14:textId="77777777" w:rsidR="00426843" w:rsidRPr="00D84EE1" w:rsidRDefault="00426843">
      <w:pPr>
        <w:pStyle w:val="ListParagraph"/>
        <w:numPr>
          <w:ilvl w:val="0"/>
          <w:numId w:val="27"/>
        </w:numPr>
      </w:pPr>
      <w:r>
        <w:t>Rotation information is passed to the Data Quality Team to run the rotation on Intrepid</w:t>
      </w:r>
    </w:p>
    <w:p w14:paraId="580C3361" w14:textId="77777777" w:rsidR="00426843" w:rsidRDefault="00426843" w:rsidP="00504DCE">
      <w:pPr>
        <w:pStyle w:val="ListParagraph"/>
      </w:pPr>
    </w:p>
    <w:p w14:paraId="671C03B3" w14:textId="77777777" w:rsidR="00E765C6" w:rsidRDefault="00E765C6" w:rsidP="00504DCE"/>
    <w:p w14:paraId="38C6E6B5" w14:textId="77777777" w:rsidR="0051049E" w:rsidRDefault="0051049E">
      <w:pPr>
        <w:rPr>
          <w:b/>
          <w:sz w:val="24"/>
        </w:rPr>
      </w:pPr>
    </w:p>
    <w:p w14:paraId="418D912F" w14:textId="77777777" w:rsidR="000A4F21" w:rsidRDefault="0051049E">
      <w:pPr>
        <w:rPr>
          <w:szCs w:val="22"/>
        </w:rPr>
      </w:pPr>
      <w:r>
        <w:rPr>
          <w:b/>
          <w:sz w:val="24"/>
        </w:rPr>
        <w:t>Completion of the Rotation Grid</w:t>
      </w:r>
    </w:p>
    <w:p w14:paraId="6F079356" w14:textId="77777777" w:rsidR="0051049E" w:rsidRDefault="0051049E">
      <w:pPr>
        <w:rPr>
          <w:szCs w:val="22"/>
        </w:rPr>
      </w:pPr>
      <w:r w:rsidRPr="004440B4">
        <w:rPr>
          <w:szCs w:val="22"/>
        </w:rPr>
        <w:t xml:space="preserve">This is shared between the TPD and </w:t>
      </w:r>
      <w:r w:rsidR="000A4F21">
        <w:rPr>
          <w:szCs w:val="22"/>
        </w:rPr>
        <w:t>PST</w:t>
      </w:r>
      <w:r w:rsidR="001D3B9C">
        <w:rPr>
          <w:szCs w:val="22"/>
        </w:rPr>
        <w:t>.</w:t>
      </w:r>
      <w:r w:rsidR="004440B4">
        <w:rPr>
          <w:szCs w:val="22"/>
        </w:rPr>
        <w:t xml:space="preserve"> The individual responsibilities are outlined below:</w:t>
      </w:r>
    </w:p>
    <w:p w14:paraId="10AC2D3A" w14:textId="77777777" w:rsidR="004440B4" w:rsidRDefault="004440B4">
      <w:pPr>
        <w:rPr>
          <w:szCs w:val="22"/>
        </w:rPr>
      </w:pPr>
    </w:p>
    <w:p w14:paraId="384FBB99" w14:textId="77777777" w:rsidR="001D3B9C" w:rsidRPr="001D3B9C" w:rsidRDefault="001D3B9C">
      <w:pPr>
        <w:rPr>
          <w:i/>
          <w:szCs w:val="22"/>
        </w:rPr>
      </w:pPr>
      <w:r w:rsidRPr="001D3B9C">
        <w:rPr>
          <w:i/>
          <w:szCs w:val="22"/>
        </w:rPr>
        <w:t>TPD:</w:t>
      </w:r>
    </w:p>
    <w:p w14:paraId="65DCB8E4" w14:textId="77777777" w:rsidR="001D3B9C" w:rsidRDefault="001D3B9C" w:rsidP="001D3B9C">
      <w:pPr>
        <w:pStyle w:val="ListParagraph"/>
        <w:numPr>
          <w:ilvl w:val="0"/>
          <w:numId w:val="5"/>
        </w:numPr>
        <w:rPr>
          <w:szCs w:val="22"/>
        </w:rPr>
      </w:pPr>
      <w:r>
        <w:rPr>
          <w:szCs w:val="22"/>
        </w:rPr>
        <w:t>Trainee forename</w:t>
      </w:r>
    </w:p>
    <w:p w14:paraId="5FADFAA3" w14:textId="77777777" w:rsidR="001D3B9C" w:rsidRDefault="001D3B9C" w:rsidP="001D3B9C">
      <w:pPr>
        <w:pStyle w:val="ListParagraph"/>
        <w:numPr>
          <w:ilvl w:val="0"/>
          <w:numId w:val="5"/>
        </w:numPr>
        <w:rPr>
          <w:szCs w:val="22"/>
        </w:rPr>
      </w:pPr>
      <w:r>
        <w:rPr>
          <w:szCs w:val="22"/>
        </w:rPr>
        <w:t>Trainee surname</w:t>
      </w:r>
    </w:p>
    <w:p w14:paraId="30752A10" w14:textId="77777777" w:rsidR="001D3B9C" w:rsidRDefault="001D3B9C" w:rsidP="001D3B9C">
      <w:pPr>
        <w:pStyle w:val="ListParagraph"/>
        <w:numPr>
          <w:ilvl w:val="0"/>
          <w:numId w:val="5"/>
        </w:numPr>
        <w:rPr>
          <w:szCs w:val="22"/>
        </w:rPr>
      </w:pPr>
      <w:r>
        <w:rPr>
          <w:szCs w:val="22"/>
        </w:rPr>
        <w:t>Training Level</w:t>
      </w:r>
      <w:r w:rsidR="00BF21EC">
        <w:rPr>
          <w:szCs w:val="22"/>
        </w:rPr>
        <w:t xml:space="preserve"> (this should be reflective of the outcome of the most recent ARCP</w:t>
      </w:r>
      <w:r w:rsidR="0042388F">
        <w:rPr>
          <w:szCs w:val="22"/>
        </w:rPr>
        <w:t xml:space="preserve"> and is of significant importance in a</w:t>
      </w:r>
      <w:r w:rsidR="003B3EAB">
        <w:rPr>
          <w:szCs w:val="22"/>
        </w:rPr>
        <w:t>lignment</w:t>
      </w:r>
      <w:r w:rsidR="0042388F">
        <w:rPr>
          <w:szCs w:val="22"/>
        </w:rPr>
        <w:t xml:space="preserve"> with the requirements of the Junior Doctor contract</w:t>
      </w:r>
      <w:r w:rsidR="00BF21EC">
        <w:rPr>
          <w:szCs w:val="22"/>
        </w:rPr>
        <w:t>)</w:t>
      </w:r>
    </w:p>
    <w:p w14:paraId="19DB8267" w14:textId="77777777" w:rsidR="001D3B9C" w:rsidRDefault="001D3B9C" w:rsidP="001D3B9C">
      <w:pPr>
        <w:pStyle w:val="ListParagraph"/>
        <w:numPr>
          <w:ilvl w:val="0"/>
          <w:numId w:val="5"/>
        </w:numPr>
        <w:rPr>
          <w:szCs w:val="22"/>
        </w:rPr>
      </w:pPr>
      <w:r>
        <w:rPr>
          <w:szCs w:val="22"/>
        </w:rPr>
        <w:t>Post Educational Supervisor (optional)</w:t>
      </w:r>
    </w:p>
    <w:p w14:paraId="1526740D" w14:textId="77777777" w:rsidR="001D3B9C" w:rsidRDefault="001D3B9C" w:rsidP="001D3B9C">
      <w:pPr>
        <w:pStyle w:val="ListParagraph"/>
        <w:numPr>
          <w:ilvl w:val="0"/>
          <w:numId w:val="5"/>
        </w:numPr>
        <w:rPr>
          <w:szCs w:val="22"/>
        </w:rPr>
      </w:pPr>
      <w:r>
        <w:rPr>
          <w:szCs w:val="22"/>
        </w:rPr>
        <w:t>Department (where applicable)</w:t>
      </w:r>
    </w:p>
    <w:p w14:paraId="7F3EC6E6" w14:textId="77777777" w:rsidR="001D3B9C" w:rsidRDefault="001D3B9C" w:rsidP="001D3B9C">
      <w:pPr>
        <w:pStyle w:val="ListParagraph"/>
        <w:numPr>
          <w:ilvl w:val="0"/>
          <w:numId w:val="5"/>
        </w:numPr>
        <w:rPr>
          <w:szCs w:val="22"/>
        </w:rPr>
      </w:pPr>
      <w:r>
        <w:rPr>
          <w:szCs w:val="22"/>
        </w:rPr>
        <w:t>Type (where applicable)</w:t>
      </w:r>
    </w:p>
    <w:p w14:paraId="26615DE4" w14:textId="77777777" w:rsidR="00131E0B" w:rsidRDefault="00131E0B" w:rsidP="001D3B9C">
      <w:pPr>
        <w:pStyle w:val="ListParagraph"/>
        <w:numPr>
          <w:ilvl w:val="0"/>
          <w:numId w:val="5"/>
        </w:numPr>
        <w:rPr>
          <w:szCs w:val="22"/>
        </w:rPr>
      </w:pPr>
      <w:r>
        <w:rPr>
          <w:szCs w:val="22"/>
        </w:rPr>
        <w:t>Comments (i.e. LTFT trainees and percentages worked when not full-time)</w:t>
      </w:r>
    </w:p>
    <w:p w14:paraId="005BC2E2" w14:textId="77777777" w:rsidR="001D3B9C" w:rsidRPr="001D3B9C" w:rsidRDefault="001D3B9C" w:rsidP="001D3B9C">
      <w:pPr>
        <w:rPr>
          <w:i/>
          <w:szCs w:val="22"/>
        </w:rPr>
      </w:pPr>
    </w:p>
    <w:p w14:paraId="5B4FFD6A" w14:textId="77777777" w:rsidR="001D3B9C" w:rsidRPr="001D3B9C" w:rsidRDefault="001D3B9C" w:rsidP="001D3B9C">
      <w:pPr>
        <w:rPr>
          <w:i/>
          <w:szCs w:val="22"/>
        </w:rPr>
      </w:pPr>
      <w:r w:rsidRPr="001D3B9C">
        <w:rPr>
          <w:i/>
          <w:szCs w:val="22"/>
        </w:rPr>
        <w:t>PST:</w:t>
      </w:r>
    </w:p>
    <w:p w14:paraId="26B9B6E2" w14:textId="77777777" w:rsidR="001D3B9C" w:rsidRDefault="001D3B9C" w:rsidP="001D3B9C">
      <w:pPr>
        <w:pStyle w:val="ListParagraph"/>
        <w:numPr>
          <w:ilvl w:val="0"/>
          <w:numId w:val="6"/>
        </w:numPr>
        <w:rPr>
          <w:szCs w:val="22"/>
        </w:rPr>
      </w:pPr>
      <w:r w:rsidRPr="001D3B9C">
        <w:rPr>
          <w:szCs w:val="22"/>
        </w:rPr>
        <w:lastRenderedPageBreak/>
        <w:t>Local Education Provider (ahead of circulation)</w:t>
      </w:r>
    </w:p>
    <w:p w14:paraId="3DA9C921" w14:textId="77777777" w:rsidR="001D3B9C" w:rsidRDefault="001D3B9C" w:rsidP="001D3B9C">
      <w:pPr>
        <w:pStyle w:val="ListParagraph"/>
        <w:numPr>
          <w:ilvl w:val="0"/>
          <w:numId w:val="6"/>
        </w:numPr>
        <w:rPr>
          <w:szCs w:val="22"/>
        </w:rPr>
      </w:pPr>
      <w:r w:rsidRPr="001D3B9C">
        <w:rPr>
          <w:szCs w:val="22"/>
        </w:rPr>
        <w:t>Site (ahead of circulation)</w:t>
      </w:r>
    </w:p>
    <w:p w14:paraId="3595C657" w14:textId="77777777" w:rsidR="001D3B9C" w:rsidRDefault="001D3B9C" w:rsidP="001D3B9C">
      <w:pPr>
        <w:pStyle w:val="ListParagraph"/>
        <w:numPr>
          <w:ilvl w:val="0"/>
          <w:numId w:val="6"/>
        </w:numPr>
        <w:rPr>
          <w:szCs w:val="22"/>
        </w:rPr>
      </w:pPr>
      <w:r w:rsidRPr="001D3B9C">
        <w:rPr>
          <w:szCs w:val="22"/>
        </w:rPr>
        <w:t>National Post Number (ahead of circulation)</w:t>
      </w:r>
    </w:p>
    <w:p w14:paraId="4DE6B8CB" w14:textId="77777777" w:rsidR="001D3B9C" w:rsidRDefault="001D3B9C" w:rsidP="001D3B9C">
      <w:pPr>
        <w:pStyle w:val="ListParagraph"/>
        <w:numPr>
          <w:ilvl w:val="0"/>
          <w:numId w:val="6"/>
        </w:numPr>
        <w:rPr>
          <w:szCs w:val="22"/>
        </w:rPr>
      </w:pPr>
      <w:r w:rsidRPr="001D3B9C">
        <w:rPr>
          <w:szCs w:val="22"/>
        </w:rPr>
        <w:t>Trainee E-mail</w:t>
      </w:r>
    </w:p>
    <w:p w14:paraId="274C1EA3" w14:textId="77777777" w:rsidR="001D3B9C" w:rsidRDefault="001D3B9C" w:rsidP="001D3B9C">
      <w:pPr>
        <w:pStyle w:val="ListParagraph"/>
        <w:numPr>
          <w:ilvl w:val="0"/>
          <w:numId w:val="6"/>
        </w:numPr>
        <w:rPr>
          <w:szCs w:val="22"/>
        </w:rPr>
      </w:pPr>
      <w:r w:rsidRPr="001D3B9C">
        <w:rPr>
          <w:szCs w:val="22"/>
        </w:rPr>
        <w:t>GMC</w:t>
      </w:r>
      <w:r>
        <w:rPr>
          <w:szCs w:val="22"/>
        </w:rPr>
        <w:t xml:space="preserve"> number</w:t>
      </w:r>
    </w:p>
    <w:p w14:paraId="2E40135B" w14:textId="77777777" w:rsidR="001D3B9C" w:rsidRDefault="001D3B9C" w:rsidP="001D3B9C">
      <w:pPr>
        <w:pStyle w:val="ListParagraph"/>
        <w:numPr>
          <w:ilvl w:val="0"/>
          <w:numId w:val="6"/>
        </w:numPr>
        <w:rPr>
          <w:szCs w:val="22"/>
        </w:rPr>
      </w:pPr>
      <w:r w:rsidRPr="001D3B9C">
        <w:rPr>
          <w:szCs w:val="22"/>
        </w:rPr>
        <w:t>CCT date</w:t>
      </w:r>
    </w:p>
    <w:p w14:paraId="6B33501D" w14:textId="77777777" w:rsidR="001D3B9C" w:rsidRDefault="001D3B9C" w:rsidP="001D3B9C">
      <w:pPr>
        <w:pStyle w:val="ListParagraph"/>
        <w:numPr>
          <w:ilvl w:val="0"/>
          <w:numId w:val="6"/>
        </w:numPr>
        <w:rPr>
          <w:szCs w:val="22"/>
        </w:rPr>
      </w:pPr>
      <w:r w:rsidRPr="001D3B9C">
        <w:rPr>
          <w:szCs w:val="22"/>
        </w:rPr>
        <w:t>Post Start Date</w:t>
      </w:r>
    </w:p>
    <w:p w14:paraId="2A95625F" w14:textId="77777777" w:rsidR="00131E0B" w:rsidRDefault="001D3B9C" w:rsidP="00131E0B">
      <w:pPr>
        <w:pStyle w:val="ListParagraph"/>
        <w:numPr>
          <w:ilvl w:val="0"/>
          <w:numId w:val="5"/>
        </w:numPr>
        <w:rPr>
          <w:szCs w:val="22"/>
        </w:rPr>
      </w:pPr>
      <w:r w:rsidRPr="001D3B9C">
        <w:rPr>
          <w:szCs w:val="22"/>
        </w:rPr>
        <w:t>Post End Date</w:t>
      </w:r>
    </w:p>
    <w:p w14:paraId="3FEB977A" w14:textId="77777777" w:rsidR="001D3B9C" w:rsidRPr="00131E0B" w:rsidRDefault="00131E0B" w:rsidP="00AA135A">
      <w:pPr>
        <w:pStyle w:val="ListParagraph"/>
        <w:numPr>
          <w:ilvl w:val="0"/>
          <w:numId w:val="5"/>
        </w:numPr>
        <w:rPr>
          <w:szCs w:val="22"/>
        </w:rPr>
      </w:pPr>
      <w:r>
        <w:rPr>
          <w:szCs w:val="22"/>
        </w:rPr>
        <w:t>Losing LEP</w:t>
      </w:r>
    </w:p>
    <w:p w14:paraId="4C1EE94E" w14:textId="77777777" w:rsidR="001D3B9C" w:rsidRDefault="001D3B9C" w:rsidP="001D3B9C">
      <w:pPr>
        <w:pStyle w:val="ListParagraph"/>
        <w:numPr>
          <w:ilvl w:val="0"/>
          <w:numId w:val="6"/>
        </w:numPr>
        <w:rPr>
          <w:szCs w:val="22"/>
        </w:rPr>
      </w:pPr>
      <w:r w:rsidRPr="001D3B9C">
        <w:rPr>
          <w:szCs w:val="22"/>
        </w:rPr>
        <w:t>Comments (i</w:t>
      </w:r>
      <w:r>
        <w:rPr>
          <w:szCs w:val="22"/>
        </w:rPr>
        <w:t xml:space="preserve">.e. </w:t>
      </w:r>
      <w:r w:rsidR="00131E0B">
        <w:rPr>
          <w:szCs w:val="22"/>
        </w:rPr>
        <w:t>check LTFT, Tier 2, New Starter, other information</w:t>
      </w:r>
      <w:r>
        <w:rPr>
          <w:szCs w:val="22"/>
        </w:rPr>
        <w:t>)</w:t>
      </w:r>
    </w:p>
    <w:p w14:paraId="58E921D6" w14:textId="77777777" w:rsidR="001D3B9C" w:rsidRDefault="001D3B9C" w:rsidP="001D3B9C">
      <w:pPr>
        <w:pStyle w:val="ListParagraph"/>
        <w:numPr>
          <w:ilvl w:val="0"/>
          <w:numId w:val="6"/>
        </w:numPr>
        <w:rPr>
          <w:szCs w:val="22"/>
        </w:rPr>
      </w:pPr>
      <w:r>
        <w:rPr>
          <w:szCs w:val="22"/>
        </w:rPr>
        <w:t>Code of Practice Monitoring Category</w:t>
      </w:r>
    </w:p>
    <w:p w14:paraId="02C3FA0B" w14:textId="77777777" w:rsidR="001D3B9C" w:rsidRPr="001D3B9C" w:rsidRDefault="001D3B9C" w:rsidP="001D3B9C">
      <w:pPr>
        <w:pStyle w:val="ListParagraph"/>
        <w:numPr>
          <w:ilvl w:val="0"/>
          <w:numId w:val="6"/>
        </w:numPr>
        <w:rPr>
          <w:szCs w:val="22"/>
        </w:rPr>
      </w:pPr>
      <w:r>
        <w:rPr>
          <w:szCs w:val="22"/>
        </w:rPr>
        <w:t>Code of Practice Monitoring Exception Categories</w:t>
      </w:r>
    </w:p>
    <w:p w14:paraId="335C2FAB" w14:textId="77777777" w:rsidR="001D3B9C" w:rsidRDefault="001D3B9C" w:rsidP="001D3B9C">
      <w:pPr>
        <w:rPr>
          <w:szCs w:val="22"/>
        </w:rPr>
      </w:pPr>
    </w:p>
    <w:p w14:paraId="729D8B63" w14:textId="77777777" w:rsidR="0051049E" w:rsidRDefault="0051049E">
      <w:pPr>
        <w:rPr>
          <w:b/>
          <w:sz w:val="24"/>
        </w:rPr>
      </w:pPr>
    </w:p>
    <w:p w14:paraId="20F944C3" w14:textId="77777777" w:rsidR="000F604B" w:rsidRPr="00C612E5" w:rsidRDefault="000F604B">
      <w:pPr>
        <w:rPr>
          <w:b/>
          <w:sz w:val="24"/>
        </w:rPr>
      </w:pPr>
      <w:r w:rsidRPr="00C612E5">
        <w:rPr>
          <w:b/>
          <w:sz w:val="24"/>
        </w:rPr>
        <w:t>When there are delays</w:t>
      </w:r>
    </w:p>
    <w:p w14:paraId="15CFA09E" w14:textId="77777777" w:rsidR="0088419D" w:rsidRDefault="0088419D"/>
    <w:p w14:paraId="59519494" w14:textId="77777777" w:rsidR="002E3623" w:rsidRDefault="002E3623">
      <w:r>
        <w:t>There will be occasions when there is a danger rotations will not be compliant with the C</w:t>
      </w:r>
      <w:r w:rsidR="00C612E5">
        <w:t>o</w:t>
      </w:r>
      <w:r w:rsidR="000A4F21">
        <w:t>P as a result of a number of factors, outstanding exam results, IDT, etc</w:t>
      </w:r>
      <w:r>
        <w:t xml:space="preserve">. This generally </w:t>
      </w:r>
      <w:r w:rsidR="000A4F21">
        <w:t>only affects a small number of t</w:t>
      </w:r>
      <w:r>
        <w:t>rainees and in these circumstances it is recommended that validated rotati</w:t>
      </w:r>
      <w:r w:rsidR="000A4F21">
        <w:t>ons are sent out to Trusts and t</w:t>
      </w:r>
      <w:r>
        <w:t>rainees with the proviso to the Trusts</w:t>
      </w:r>
      <w:r w:rsidR="00131E0B">
        <w:t>,</w:t>
      </w:r>
      <w:r>
        <w:t xml:space="preserve"> that furth</w:t>
      </w:r>
      <w:r w:rsidR="000A4F21">
        <w:t>er changes may be made which will affect a specific number of t</w:t>
      </w:r>
      <w:r>
        <w:t xml:space="preserve">rainees. </w:t>
      </w:r>
    </w:p>
    <w:p w14:paraId="29BDE109" w14:textId="77777777" w:rsidR="002E3623" w:rsidRDefault="002E3623"/>
    <w:p w14:paraId="746EE5FE" w14:textId="77777777" w:rsidR="00537E57" w:rsidRDefault="00537E57">
      <w:r>
        <w:t xml:space="preserve">PST will inform the Trusts of the changes and send an amended rotation.  It is the responsibility of </w:t>
      </w:r>
      <w:r w:rsidR="000A4F21">
        <w:t>the TPD to inform the affected t</w:t>
      </w:r>
      <w:r>
        <w:t xml:space="preserve">rainees </w:t>
      </w:r>
      <w:r w:rsidR="00131E0B">
        <w:t>where there have</w:t>
      </w:r>
      <w:r>
        <w:t xml:space="preserve"> been change</w:t>
      </w:r>
      <w:r w:rsidR="00131E0B">
        <w:t>s</w:t>
      </w:r>
      <w:r>
        <w:t xml:space="preserve"> to their </w:t>
      </w:r>
      <w:r w:rsidR="000A4F21">
        <w:t xml:space="preserve">original </w:t>
      </w:r>
      <w:r>
        <w:t>rotation and</w:t>
      </w:r>
      <w:r w:rsidR="00131E0B">
        <w:t>/</w:t>
      </w:r>
      <w:r>
        <w:t xml:space="preserve">or location. </w:t>
      </w:r>
    </w:p>
    <w:p w14:paraId="5D7A254D" w14:textId="77777777" w:rsidR="00537E57" w:rsidRDefault="00537E57"/>
    <w:p w14:paraId="31F5E7B2" w14:textId="77777777" w:rsidR="002E3623" w:rsidRDefault="000A4F21">
      <w:r>
        <w:t>Some of these delays will fall into the Exception C</w:t>
      </w:r>
      <w:r w:rsidR="002E3623">
        <w:t xml:space="preserve">ategories </w:t>
      </w:r>
      <w:r>
        <w:t>mentioned below,</w:t>
      </w:r>
      <w:r w:rsidR="002E3623">
        <w:t xml:space="preserve"> and the PST are required to add this information to both the Rotations Summary and the Rotations.</w:t>
      </w:r>
    </w:p>
    <w:p w14:paraId="41C660A5" w14:textId="77777777" w:rsidR="00D71263" w:rsidRDefault="00D71263"/>
    <w:p w14:paraId="727670A1" w14:textId="77777777" w:rsidR="00D71263" w:rsidRDefault="00D71263" w:rsidP="00D71263">
      <w:pPr>
        <w:spacing w:after="200" w:line="276" w:lineRule="auto"/>
        <w:contextualSpacing/>
        <w:rPr>
          <w:rFonts w:eastAsiaTheme="minorHAnsi" w:cs="Arial"/>
          <w:szCs w:val="22"/>
          <w:lang w:eastAsia="en-US"/>
        </w:rPr>
      </w:pPr>
      <w:r w:rsidRPr="002E3623">
        <w:rPr>
          <w:rFonts w:eastAsiaTheme="minorHAnsi" w:cs="Arial"/>
          <w:szCs w:val="22"/>
          <w:lang w:eastAsia="en-US"/>
        </w:rPr>
        <w:t xml:space="preserve">If </w:t>
      </w:r>
      <w:r>
        <w:rPr>
          <w:rFonts w:eastAsiaTheme="minorHAnsi" w:cs="Arial"/>
          <w:szCs w:val="22"/>
          <w:lang w:eastAsia="en-US"/>
        </w:rPr>
        <w:t xml:space="preserve">a </w:t>
      </w:r>
      <w:r w:rsidRPr="002E3623">
        <w:rPr>
          <w:rFonts w:eastAsiaTheme="minorHAnsi" w:cs="Arial"/>
          <w:szCs w:val="22"/>
          <w:lang w:eastAsia="en-US"/>
        </w:rPr>
        <w:t>rotation is amended at any stage which subsequently affect</w:t>
      </w:r>
      <w:r>
        <w:rPr>
          <w:rFonts w:eastAsiaTheme="minorHAnsi" w:cs="Arial"/>
          <w:szCs w:val="22"/>
          <w:lang w:eastAsia="en-US"/>
        </w:rPr>
        <w:t>s</w:t>
      </w:r>
      <w:r w:rsidRPr="002E3623">
        <w:rPr>
          <w:rFonts w:eastAsiaTheme="minorHAnsi" w:cs="Arial"/>
          <w:szCs w:val="22"/>
          <w:lang w:eastAsia="en-US"/>
        </w:rPr>
        <w:t xml:space="preserve"> CoP, amended figures </w:t>
      </w:r>
    </w:p>
    <w:p w14:paraId="44CBD6C3" w14:textId="77777777" w:rsidR="00D71263" w:rsidRPr="002E3623" w:rsidRDefault="00D71263" w:rsidP="00D71263">
      <w:pPr>
        <w:spacing w:after="200" w:line="276" w:lineRule="auto"/>
        <w:contextualSpacing/>
        <w:rPr>
          <w:rFonts w:eastAsiaTheme="minorHAnsi" w:cs="Arial"/>
          <w:szCs w:val="22"/>
          <w:lang w:eastAsia="en-US"/>
        </w:rPr>
      </w:pPr>
      <w:r>
        <w:rPr>
          <w:rFonts w:eastAsiaTheme="minorHAnsi" w:cs="Arial"/>
          <w:szCs w:val="22"/>
          <w:lang w:eastAsia="en-US"/>
        </w:rPr>
        <w:t>must</w:t>
      </w:r>
      <w:r w:rsidRPr="002E3623">
        <w:rPr>
          <w:rFonts w:eastAsiaTheme="minorHAnsi" w:cs="Arial"/>
          <w:szCs w:val="22"/>
          <w:lang w:eastAsia="en-US"/>
        </w:rPr>
        <w:t xml:space="preserve"> be entered onto </w:t>
      </w:r>
      <w:r>
        <w:rPr>
          <w:rFonts w:eastAsiaTheme="minorHAnsi" w:cs="Arial"/>
          <w:szCs w:val="22"/>
          <w:lang w:eastAsia="en-US"/>
        </w:rPr>
        <w:t xml:space="preserve">the </w:t>
      </w:r>
      <w:r w:rsidR="00131E0B">
        <w:rPr>
          <w:rFonts w:eastAsiaTheme="minorHAnsi" w:cs="Arial"/>
          <w:szCs w:val="22"/>
          <w:lang w:eastAsia="en-US"/>
        </w:rPr>
        <w:t>Rotation Tracker</w:t>
      </w:r>
      <w:r>
        <w:rPr>
          <w:rFonts w:eastAsiaTheme="minorHAnsi" w:cs="Arial"/>
          <w:szCs w:val="22"/>
          <w:lang w:eastAsia="en-US"/>
        </w:rPr>
        <w:t xml:space="preserve"> and the Rotation</w:t>
      </w:r>
      <w:r w:rsidR="00131E0B">
        <w:rPr>
          <w:rFonts w:eastAsiaTheme="minorHAnsi" w:cs="Arial"/>
          <w:szCs w:val="22"/>
          <w:lang w:eastAsia="en-US"/>
        </w:rPr>
        <w:t xml:space="preserve"> by the PST</w:t>
      </w:r>
    </w:p>
    <w:p w14:paraId="5AFABD7F" w14:textId="77777777" w:rsidR="002E3623" w:rsidRDefault="002E3623"/>
    <w:p w14:paraId="604495FD" w14:textId="77777777" w:rsidR="000A4F21" w:rsidRDefault="000A4F21" w:rsidP="002E3623">
      <w:pPr>
        <w:rPr>
          <w:rFonts w:eastAsiaTheme="minorHAnsi" w:cs="Arial"/>
          <w:b/>
          <w:szCs w:val="22"/>
          <w:lang w:eastAsia="en-US"/>
        </w:rPr>
      </w:pPr>
    </w:p>
    <w:p w14:paraId="423AF77B" w14:textId="77777777" w:rsidR="000A4F21" w:rsidRDefault="000A4F21" w:rsidP="002E3623">
      <w:pPr>
        <w:rPr>
          <w:rFonts w:eastAsiaTheme="minorHAnsi" w:cs="Arial"/>
          <w:b/>
          <w:szCs w:val="22"/>
          <w:lang w:eastAsia="en-US"/>
        </w:rPr>
      </w:pPr>
    </w:p>
    <w:p w14:paraId="6B350B17" w14:textId="77777777" w:rsidR="002E3623" w:rsidRPr="00D71263" w:rsidRDefault="00D71263" w:rsidP="002E3623">
      <w:pPr>
        <w:rPr>
          <w:rFonts w:eastAsiaTheme="minorHAnsi" w:cs="Arial"/>
          <w:b/>
          <w:szCs w:val="22"/>
          <w:lang w:eastAsia="en-US"/>
        </w:rPr>
      </w:pPr>
      <w:r w:rsidRPr="00D71263">
        <w:rPr>
          <w:rFonts w:eastAsiaTheme="minorHAnsi" w:cs="Arial"/>
          <w:b/>
          <w:szCs w:val="22"/>
          <w:lang w:eastAsia="en-US"/>
        </w:rPr>
        <w:t>Exception Categories</w:t>
      </w:r>
    </w:p>
    <w:p w14:paraId="6CF7504A" w14:textId="77777777" w:rsidR="00D71263" w:rsidRDefault="00D71263" w:rsidP="002E3623">
      <w:pPr>
        <w:rPr>
          <w:rFonts w:eastAsiaTheme="minorHAnsi" w:cs="Arial"/>
          <w:szCs w:val="22"/>
          <w:lang w:eastAsia="en-US"/>
        </w:rPr>
      </w:pPr>
    </w:p>
    <w:p w14:paraId="66D0061D" w14:textId="77777777" w:rsidR="00D71263" w:rsidRPr="002E3623" w:rsidRDefault="00D71263" w:rsidP="002E3623">
      <w:pPr>
        <w:rPr>
          <w:rFonts w:eastAsiaTheme="minorHAnsi" w:cs="Arial"/>
          <w:szCs w:val="22"/>
          <w:lang w:eastAsia="en-US"/>
        </w:rPr>
      </w:pPr>
      <w:r>
        <w:rPr>
          <w:rFonts w:eastAsiaTheme="minorHAnsi" w:cs="Arial"/>
          <w:szCs w:val="22"/>
          <w:lang w:eastAsia="en-US"/>
        </w:rPr>
        <w:t xml:space="preserve">Please see Appendix </w:t>
      </w:r>
      <w:r w:rsidR="0088419D">
        <w:rPr>
          <w:rFonts w:eastAsiaTheme="minorHAnsi" w:cs="Arial"/>
          <w:szCs w:val="22"/>
          <w:lang w:eastAsia="en-US"/>
        </w:rPr>
        <w:t>2</w:t>
      </w:r>
      <w:r>
        <w:rPr>
          <w:rFonts w:eastAsiaTheme="minorHAnsi" w:cs="Arial"/>
          <w:szCs w:val="22"/>
          <w:lang w:eastAsia="en-US"/>
        </w:rPr>
        <w:t xml:space="preserve"> for details of the agreed Exception Categ</w:t>
      </w:r>
      <w:r w:rsidR="000A4F21">
        <w:rPr>
          <w:rFonts w:eastAsiaTheme="minorHAnsi" w:cs="Arial"/>
          <w:szCs w:val="22"/>
          <w:lang w:eastAsia="en-US"/>
        </w:rPr>
        <w:t>ories. These columns on the grid</w:t>
      </w:r>
      <w:r>
        <w:rPr>
          <w:rFonts w:eastAsiaTheme="minorHAnsi" w:cs="Arial"/>
          <w:szCs w:val="22"/>
          <w:lang w:eastAsia="en-US"/>
        </w:rPr>
        <w:t xml:space="preserve"> </w:t>
      </w:r>
      <w:r w:rsidR="00410048">
        <w:rPr>
          <w:rFonts w:eastAsiaTheme="minorHAnsi" w:cs="Arial"/>
          <w:szCs w:val="22"/>
          <w:lang w:eastAsia="en-US"/>
        </w:rPr>
        <w:t xml:space="preserve">must </w:t>
      </w:r>
      <w:r>
        <w:rPr>
          <w:rFonts w:eastAsiaTheme="minorHAnsi" w:cs="Arial"/>
          <w:szCs w:val="22"/>
          <w:lang w:eastAsia="en-US"/>
        </w:rPr>
        <w:t>be completed by PST (</w:t>
      </w:r>
      <w:r w:rsidR="00736A94">
        <w:rPr>
          <w:rFonts w:eastAsiaTheme="minorHAnsi" w:cs="Arial"/>
          <w:szCs w:val="22"/>
          <w:lang w:eastAsia="en-US"/>
        </w:rPr>
        <w:t xml:space="preserve">responsibility of the </w:t>
      </w:r>
      <w:r>
        <w:rPr>
          <w:rFonts w:eastAsiaTheme="minorHAnsi" w:cs="Arial"/>
          <w:szCs w:val="22"/>
          <w:lang w:eastAsia="en-US"/>
        </w:rPr>
        <w:t>PSC).</w:t>
      </w:r>
    </w:p>
    <w:p w14:paraId="558781A4" w14:textId="77777777" w:rsidR="002E3623" w:rsidRPr="002E3623" w:rsidRDefault="002E3623" w:rsidP="000A4F21">
      <w:pPr>
        <w:spacing w:after="200" w:line="276" w:lineRule="auto"/>
        <w:contextualSpacing/>
        <w:rPr>
          <w:rFonts w:eastAsiaTheme="minorHAnsi" w:cs="Arial"/>
          <w:szCs w:val="22"/>
          <w:lang w:eastAsia="en-US"/>
        </w:rPr>
      </w:pPr>
      <w:r w:rsidRPr="002E3623">
        <w:rPr>
          <w:rFonts w:eastAsiaTheme="minorHAnsi" w:cs="Arial"/>
          <w:szCs w:val="22"/>
          <w:lang w:eastAsia="en-US"/>
        </w:rPr>
        <w:t xml:space="preserve"> </w:t>
      </w:r>
    </w:p>
    <w:p w14:paraId="4A855B20" w14:textId="77777777" w:rsidR="002E3623" w:rsidRPr="002E3623" w:rsidRDefault="002E3623" w:rsidP="002E3623">
      <w:pPr>
        <w:rPr>
          <w:rFonts w:eastAsiaTheme="minorHAnsi" w:cs="Arial"/>
          <w:szCs w:val="22"/>
          <w:lang w:eastAsia="en-US"/>
        </w:rPr>
      </w:pPr>
    </w:p>
    <w:p w14:paraId="7905BFB3" w14:textId="77777777" w:rsidR="002E3623" w:rsidRDefault="00D71263" w:rsidP="002E3623">
      <w:pPr>
        <w:rPr>
          <w:rFonts w:eastAsiaTheme="minorHAnsi" w:cs="Arial"/>
          <w:b/>
          <w:szCs w:val="22"/>
          <w:lang w:eastAsia="en-US"/>
        </w:rPr>
      </w:pPr>
      <w:r w:rsidRPr="00D71263">
        <w:rPr>
          <w:rFonts w:eastAsiaTheme="minorHAnsi" w:cs="Arial"/>
          <w:b/>
          <w:szCs w:val="22"/>
          <w:lang w:eastAsia="en-US"/>
        </w:rPr>
        <w:t>FAQs</w:t>
      </w:r>
    </w:p>
    <w:p w14:paraId="6C983780" w14:textId="77777777" w:rsidR="00D71263" w:rsidRDefault="00D71263" w:rsidP="002E3623">
      <w:pPr>
        <w:rPr>
          <w:rFonts w:eastAsiaTheme="minorHAnsi" w:cs="Arial"/>
          <w:b/>
          <w:szCs w:val="22"/>
          <w:lang w:eastAsia="en-US"/>
        </w:rPr>
      </w:pPr>
    </w:p>
    <w:p w14:paraId="269624E9" w14:textId="77777777" w:rsidR="00D71263" w:rsidRDefault="00BD1C5F" w:rsidP="002E3623">
      <w:pPr>
        <w:rPr>
          <w:rFonts w:eastAsiaTheme="minorHAnsi" w:cs="Arial"/>
          <w:b/>
          <w:szCs w:val="22"/>
          <w:lang w:eastAsia="en-US"/>
        </w:rPr>
      </w:pPr>
      <w:r>
        <w:rPr>
          <w:rFonts w:eastAsiaTheme="minorHAnsi" w:cs="Arial"/>
          <w:b/>
          <w:szCs w:val="22"/>
          <w:lang w:eastAsia="en-US"/>
        </w:rPr>
        <w:t>What happens when all posts aren’t filled on the rotation?</w:t>
      </w:r>
    </w:p>
    <w:p w14:paraId="6912B869" w14:textId="77777777" w:rsidR="00BD1C5F" w:rsidRDefault="00BD1C5F" w:rsidP="002E3623">
      <w:pPr>
        <w:rPr>
          <w:rFonts w:eastAsiaTheme="minorHAnsi" w:cs="Arial"/>
          <w:szCs w:val="22"/>
          <w:lang w:eastAsia="en-US"/>
        </w:rPr>
      </w:pPr>
      <w:r w:rsidRPr="00BD1C5F">
        <w:rPr>
          <w:rFonts w:eastAsiaTheme="minorHAnsi" w:cs="Arial"/>
          <w:szCs w:val="22"/>
          <w:lang w:eastAsia="en-US"/>
        </w:rPr>
        <w:t>This should be marked as ‘Gap’ by the TPD.</w:t>
      </w:r>
    </w:p>
    <w:p w14:paraId="0E399613" w14:textId="77777777" w:rsidR="00BD1C5F" w:rsidRDefault="00BD1C5F" w:rsidP="002E3623">
      <w:pPr>
        <w:rPr>
          <w:rFonts w:eastAsiaTheme="minorHAnsi" w:cs="Arial"/>
          <w:szCs w:val="22"/>
          <w:lang w:eastAsia="en-US"/>
        </w:rPr>
      </w:pPr>
    </w:p>
    <w:p w14:paraId="523F0907" w14:textId="77777777" w:rsidR="00BD1C5F" w:rsidRPr="00BD1C5F" w:rsidRDefault="00BD1C5F" w:rsidP="002E3623">
      <w:pPr>
        <w:rPr>
          <w:rFonts w:eastAsiaTheme="minorHAnsi" w:cs="Arial"/>
          <w:b/>
          <w:szCs w:val="22"/>
          <w:lang w:eastAsia="en-US"/>
        </w:rPr>
      </w:pPr>
      <w:r w:rsidRPr="00BD1C5F">
        <w:rPr>
          <w:rFonts w:eastAsiaTheme="minorHAnsi" w:cs="Arial"/>
          <w:b/>
          <w:szCs w:val="22"/>
          <w:lang w:eastAsia="en-US"/>
        </w:rPr>
        <w:t xml:space="preserve">Who should </w:t>
      </w:r>
      <w:r w:rsidRPr="00AA135A">
        <w:rPr>
          <w:rFonts w:eastAsiaTheme="minorHAnsi" w:cs="Arial"/>
          <w:b/>
          <w:szCs w:val="22"/>
          <w:u w:val="single"/>
          <w:lang w:eastAsia="en-US"/>
        </w:rPr>
        <w:t>not</w:t>
      </w:r>
      <w:r w:rsidRPr="00BD1C5F">
        <w:rPr>
          <w:rFonts w:eastAsiaTheme="minorHAnsi" w:cs="Arial"/>
          <w:b/>
          <w:szCs w:val="22"/>
          <w:lang w:eastAsia="en-US"/>
        </w:rPr>
        <w:t xml:space="preserve"> be included on the rotation?</w:t>
      </w:r>
    </w:p>
    <w:p w14:paraId="574A3F3D" w14:textId="77777777" w:rsidR="00BD1C5F" w:rsidRDefault="00BD1C5F" w:rsidP="002E3623">
      <w:pPr>
        <w:rPr>
          <w:rFonts w:eastAsiaTheme="minorHAnsi" w:cs="Arial"/>
          <w:szCs w:val="22"/>
          <w:lang w:eastAsia="en-US"/>
        </w:rPr>
      </w:pPr>
      <w:r>
        <w:rPr>
          <w:rFonts w:eastAsiaTheme="minorHAnsi" w:cs="Arial"/>
          <w:szCs w:val="22"/>
          <w:lang w:eastAsia="en-US"/>
        </w:rPr>
        <w:t>Any non-training doctor. Examples being MTI, LAS and SAS.</w:t>
      </w:r>
    </w:p>
    <w:p w14:paraId="5668DE00" w14:textId="77777777" w:rsidR="00BD1C5F" w:rsidRDefault="00BD1C5F" w:rsidP="002E3623">
      <w:pPr>
        <w:rPr>
          <w:rFonts w:eastAsiaTheme="minorHAnsi" w:cs="Arial"/>
          <w:szCs w:val="22"/>
          <w:lang w:eastAsia="en-US"/>
        </w:rPr>
      </w:pPr>
    </w:p>
    <w:p w14:paraId="101993D9" w14:textId="77777777" w:rsidR="00BD1C5F" w:rsidRPr="00BD1C5F" w:rsidRDefault="00BD1C5F" w:rsidP="002E3623">
      <w:pPr>
        <w:rPr>
          <w:rFonts w:eastAsiaTheme="minorHAnsi" w:cs="Arial"/>
          <w:b/>
          <w:szCs w:val="22"/>
          <w:lang w:eastAsia="en-US"/>
        </w:rPr>
      </w:pPr>
      <w:r w:rsidRPr="00BD1C5F">
        <w:rPr>
          <w:rFonts w:eastAsiaTheme="minorHAnsi" w:cs="Arial"/>
          <w:b/>
          <w:szCs w:val="22"/>
          <w:lang w:eastAsia="en-US"/>
        </w:rPr>
        <w:t>What happens if a TPD is on sick leave?</w:t>
      </w:r>
    </w:p>
    <w:p w14:paraId="4049AA3F" w14:textId="77777777" w:rsidR="00BD1C5F" w:rsidRDefault="00BD1C5F" w:rsidP="002E3623">
      <w:pPr>
        <w:rPr>
          <w:rFonts w:eastAsiaTheme="minorHAnsi" w:cs="Arial"/>
          <w:szCs w:val="22"/>
          <w:lang w:eastAsia="en-US"/>
        </w:rPr>
      </w:pPr>
      <w:r>
        <w:rPr>
          <w:rFonts w:eastAsiaTheme="minorHAnsi" w:cs="Arial"/>
          <w:szCs w:val="22"/>
          <w:lang w:eastAsia="en-US"/>
        </w:rPr>
        <w:t xml:space="preserve">PST should escalate this to the Head of School, who will take responsibility for the submission. </w:t>
      </w:r>
      <w:r w:rsidR="00410048">
        <w:rPr>
          <w:rFonts w:eastAsiaTheme="minorHAnsi" w:cs="Arial"/>
          <w:szCs w:val="22"/>
          <w:lang w:eastAsia="en-US"/>
        </w:rPr>
        <w:t xml:space="preserve">The Head of School may choose to delegate this to another TPD within the faculty. </w:t>
      </w:r>
    </w:p>
    <w:p w14:paraId="6515187D" w14:textId="77777777" w:rsidR="00BD1C5F" w:rsidRDefault="00BD1C5F" w:rsidP="002E3623">
      <w:pPr>
        <w:rPr>
          <w:rFonts w:eastAsiaTheme="minorHAnsi" w:cs="Arial"/>
          <w:szCs w:val="22"/>
          <w:lang w:eastAsia="en-US"/>
        </w:rPr>
      </w:pPr>
    </w:p>
    <w:p w14:paraId="755958EF" w14:textId="77777777" w:rsidR="00BD1C5F" w:rsidRPr="006125C1" w:rsidRDefault="006125C1" w:rsidP="002E3623">
      <w:pPr>
        <w:rPr>
          <w:rFonts w:eastAsiaTheme="minorHAnsi" w:cs="Arial"/>
          <w:b/>
          <w:szCs w:val="22"/>
          <w:lang w:eastAsia="en-US"/>
        </w:rPr>
      </w:pPr>
      <w:r w:rsidRPr="006125C1">
        <w:rPr>
          <w:rFonts w:eastAsiaTheme="minorHAnsi" w:cs="Arial"/>
          <w:b/>
          <w:szCs w:val="22"/>
          <w:lang w:eastAsia="en-US"/>
        </w:rPr>
        <w:t>Who does the TPD contact if they are having difficulties with elements of the rotation?</w:t>
      </w:r>
    </w:p>
    <w:p w14:paraId="7FB5CDBE" w14:textId="77777777" w:rsidR="00AA135A" w:rsidRDefault="006125C1" w:rsidP="002E3623">
      <w:pPr>
        <w:rPr>
          <w:rFonts w:eastAsiaTheme="minorHAnsi" w:cs="Arial"/>
          <w:szCs w:val="22"/>
          <w:lang w:eastAsia="en-US"/>
        </w:rPr>
      </w:pPr>
      <w:r>
        <w:rPr>
          <w:rFonts w:eastAsiaTheme="minorHAnsi" w:cs="Arial"/>
          <w:szCs w:val="22"/>
          <w:lang w:eastAsia="en-US"/>
        </w:rPr>
        <w:t xml:space="preserve">The TPD should discuss this in the first instance with PST, with the PSC being their first </w:t>
      </w:r>
    </w:p>
    <w:p w14:paraId="7CA2FB37" w14:textId="77777777" w:rsidR="006125C1" w:rsidRDefault="006125C1" w:rsidP="002E3623">
      <w:pPr>
        <w:rPr>
          <w:rFonts w:eastAsiaTheme="minorHAnsi" w:cs="Arial"/>
          <w:szCs w:val="22"/>
          <w:lang w:eastAsia="en-US"/>
        </w:rPr>
      </w:pPr>
      <w:r>
        <w:rPr>
          <w:rFonts w:eastAsiaTheme="minorHAnsi" w:cs="Arial"/>
          <w:szCs w:val="22"/>
          <w:lang w:eastAsia="en-US"/>
        </w:rPr>
        <w:t>point of contact. They may also ask for the support of the Head of School in some instances.</w:t>
      </w:r>
    </w:p>
    <w:p w14:paraId="138C5D4D" w14:textId="77777777" w:rsidR="006125C1" w:rsidRDefault="006125C1" w:rsidP="002E3623">
      <w:pPr>
        <w:rPr>
          <w:rFonts w:eastAsiaTheme="minorHAnsi" w:cs="Arial"/>
          <w:szCs w:val="22"/>
          <w:lang w:eastAsia="en-US"/>
        </w:rPr>
      </w:pPr>
    </w:p>
    <w:p w14:paraId="0AE4113E" w14:textId="77777777" w:rsidR="006125C1" w:rsidRPr="006125C1" w:rsidRDefault="006125C1" w:rsidP="002E3623">
      <w:pPr>
        <w:rPr>
          <w:rFonts w:eastAsiaTheme="minorHAnsi" w:cs="Arial"/>
          <w:b/>
          <w:szCs w:val="22"/>
          <w:lang w:eastAsia="en-US"/>
        </w:rPr>
      </w:pPr>
      <w:r w:rsidRPr="006125C1">
        <w:rPr>
          <w:rFonts w:eastAsiaTheme="minorHAnsi" w:cs="Arial"/>
          <w:b/>
          <w:szCs w:val="22"/>
          <w:lang w:eastAsia="en-US"/>
        </w:rPr>
        <w:t>What happens if trainees cannot be allocated a post due to external factor, i.e. waiting for exam results, etc?</w:t>
      </w:r>
    </w:p>
    <w:p w14:paraId="6A7628D3" w14:textId="77777777" w:rsidR="006125C1" w:rsidRDefault="00765356" w:rsidP="002E3623">
      <w:pPr>
        <w:rPr>
          <w:rFonts w:eastAsiaTheme="minorHAnsi" w:cs="Arial"/>
          <w:szCs w:val="22"/>
          <w:lang w:eastAsia="en-US"/>
        </w:rPr>
      </w:pPr>
      <w:r>
        <w:rPr>
          <w:rFonts w:eastAsiaTheme="minorHAnsi" w:cs="Arial"/>
          <w:szCs w:val="22"/>
          <w:lang w:eastAsia="en-US"/>
        </w:rPr>
        <w:t>TPDs should normally be able to allocate posts, even if awaiting information. However should t</w:t>
      </w:r>
      <w:r w:rsidR="006125C1">
        <w:rPr>
          <w:rFonts w:eastAsiaTheme="minorHAnsi" w:cs="Arial"/>
          <w:szCs w:val="22"/>
          <w:lang w:eastAsia="en-US"/>
        </w:rPr>
        <w:t xml:space="preserve">he TPD </w:t>
      </w:r>
      <w:r>
        <w:rPr>
          <w:rFonts w:eastAsiaTheme="minorHAnsi" w:cs="Arial"/>
          <w:szCs w:val="22"/>
          <w:lang w:eastAsia="en-US"/>
        </w:rPr>
        <w:t xml:space="preserve">be unable to allocate a post, they should </w:t>
      </w:r>
      <w:r w:rsidR="006125C1">
        <w:rPr>
          <w:rFonts w:eastAsiaTheme="minorHAnsi" w:cs="Arial"/>
          <w:szCs w:val="22"/>
          <w:lang w:eastAsia="en-US"/>
        </w:rPr>
        <w:t>submit an initial version with these trainees excluded, and then a further one when in a position to do so. They should notify PST in the first submission which trainees are missing. PST should ensure all versions are circulated to Trusts.</w:t>
      </w:r>
    </w:p>
    <w:p w14:paraId="5209146C" w14:textId="77777777" w:rsidR="003D61A1" w:rsidRDefault="003D61A1" w:rsidP="002E3623">
      <w:pPr>
        <w:rPr>
          <w:rFonts w:eastAsiaTheme="minorHAnsi" w:cs="Arial"/>
          <w:szCs w:val="22"/>
          <w:lang w:eastAsia="en-US"/>
        </w:rPr>
      </w:pPr>
    </w:p>
    <w:p w14:paraId="4161510B" w14:textId="77777777" w:rsidR="003D61A1" w:rsidRPr="003D61A1" w:rsidRDefault="003D61A1" w:rsidP="002E3623">
      <w:pPr>
        <w:rPr>
          <w:rFonts w:eastAsiaTheme="minorHAnsi" w:cs="Arial"/>
          <w:b/>
          <w:szCs w:val="22"/>
          <w:lang w:eastAsia="en-US"/>
        </w:rPr>
      </w:pPr>
      <w:r w:rsidRPr="003D61A1">
        <w:rPr>
          <w:rFonts w:eastAsiaTheme="minorHAnsi" w:cs="Arial"/>
          <w:b/>
          <w:szCs w:val="22"/>
          <w:lang w:eastAsia="en-US"/>
        </w:rPr>
        <w:t>Who should notify the trainees if there is a change to their original rotation?</w:t>
      </w:r>
    </w:p>
    <w:p w14:paraId="4D6EFCB8" w14:textId="77777777" w:rsidR="003D61A1" w:rsidRDefault="003D61A1" w:rsidP="002E3623">
      <w:pPr>
        <w:rPr>
          <w:rFonts w:eastAsiaTheme="minorHAnsi" w:cs="Arial"/>
          <w:szCs w:val="22"/>
          <w:lang w:eastAsia="en-US"/>
        </w:rPr>
      </w:pPr>
      <w:r>
        <w:rPr>
          <w:rFonts w:eastAsiaTheme="minorHAnsi" w:cs="Arial"/>
          <w:szCs w:val="22"/>
          <w:lang w:eastAsia="en-US"/>
        </w:rPr>
        <w:t>This is the responsibility of the TPD, who should also inform PST.</w:t>
      </w:r>
    </w:p>
    <w:p w14:paraId="35E203FF" w14:textId="77777777" w:rsidR="003D61A1" w:rsidRDefault="003D61A1" w:rsidP="002E3623">
      <w:pPr>
        <w:rPr>
          <w:rFonts w:eastAsiaTheme="minorHAnsi" w:cs="Arial"/>
          <w:szCs w:val="22"/>
          <w:lang w:eastAsia="en-US"/>
        </w:rPr>
      </w:pPr>
    </w:p>
    <w:p w14:paraId="3AC02FB8" w14:textId="77777777" w:rsidR="00F70E88" w:rsidRDefault="00F70E88" w:rsidP="002E3623">
      <w:pPr>
        <w:rPr>
          <w:rFonts w:eastAsiaTheme="minorHAnsi" w:cs="Arial"/>
          <w:szCs w:val="22"/>
          <w:lang w:eastAsia="en-US"/>
        </w:rPr>
      </w:pPr>
    </w:p>
    <w:p w14:paraId="79F376C3" w14:textId="77777777" w:rsidR="00F70E88" w:rsidRPr="00B610E0" w:rsidRDefault="00B610E0" w:rsidP="002E3623">
      <w:pPr>
        <w:rPr>
          <w:rFonts w:eastAsiaTheme="minorHAnsi" w:cs="Arial"/>
          <w:b/>
          <w:szCs w:val="22"/>
          <w:lang w:eastAsia="en-US"/>
        </w:rPr>
      </w:pPr>
      <w:r w:rsidRPr="00B610E0">
        <w:rPr>
          <w:rFonts w:eastAsiaTheme="minorHAnsi" w:cs="Arial"/>
          <w:b/>
          <w:szCs w:val="22"/>
          <w:lang w:eastAsia="en-US"/>
        </w:rPr>
        <w:t xml:space="preserve">Who </w:t>
      </w:r>
      <w:r w:rsidR="00902439">
        <w:rPr>
          <w:rFonts w:eastAsiaTheme="minorHAnsi" w:cs="Arial"/>
          <w:b/>
          <w:szCs w:val="22"/>
          <w:lang w:eastAsia="en-US"/>
        </w:rPr>
        <w:t xml:space="preserve">will the </w:t>
      </w:r>
      <w:r w:rsidRPr="00B610E0">
        <w:rPr>
          <w:rFonts w:eastAsiaTheme="minorHAnsi" w:cs="Arial"/>
          <w:b/>
          <w:szCs w:val="22"/>
          <w:lang w:eastAsia="en-US"/>
        </w:rPr>
        <w:t>PST circulate this to within the LEPs?</w:t>
      </w:r>
    </w:p>
    <w:p w14:paraId="0C201DA4" w14:textId="77777777" w:rsidR="00B610E0" w:rsidRDefault="00B610E0" w:rsidP="002E3623">
      <w:pPr>
        <w:rPr>
          <w:rFonts w:eastAsiaTheme="minorHAnsi" w:cs="Arial"/>
          <w:szCs w:val="22"/>
          <w:lang w:eastAsia="en-US"/>
        </w:rPr>
      </w:pPr>
      <w:r>
        <w:rPr>
          <w:rFonts w:eastAsiaTheme="minorHAnsi" w:cs="Arial"/>
          <w:szCs w:val="22"/>
          <w:lang w:eastAsia="en-US"/>
        </w:rPr>
        <w:t xml:space="preserve">This </w:t>
      </w:r>
      <w:r w:rsidR="00902439">
        <w:rPr>
          <w:rFonts w:eastAsiaTheme="minorHAnsi" w:cs="Arial"/>
          <w:szCs w:val="22"/>
          <w:lang w:eastAsia="en-US"/>
        </w:rPr>
        <w:t xml:space="preserve">will </w:t>
      </w:r>
      <w:r>
        <w:rPr>
          <w:rFonts w:eastAsiaTheme="minorHAnsi" w:cs="Arial"/>
          <w:szCs w:val="22"/>
          <w:lang w:eastAsia="en-US"/>
        </w:rPr>
        <w:t>only be sent to the agreed contact</w:t>
      </w:r>
      <w:r w:rsidR="00902439">
        <w:rPr>
          <w:rFonts w:eastAsiaTheme="minorHAnsi" w:cs="Arial"/>
          <w:szCs w:val="22"/>
          <w:lang w:eastAsia="en-US"/>
        </w:rPr>
        <w:t>s</w:t>
      </w:r>
      <w:r>
        <w:rPr>
          <w:rFonts w:eastAsiaTheme="minorHAnsi" w:cs="Arial"/>
          <w:szCs w:val="22"/>
          <w:lang w:eastAsia="en-US"/>
        </w:rPr>
        <w:t xml:space="preserve"> (specified by the LEP</w:t>
      </w:r>
      <w:r w:rsidR="000A4F21">
        <w:rPr>
          <w:rFonts w:eastAsiaTheme="minorHAnsi" w:cs="Arial"/>
          <w:szCs w:val="22"/>
          <w:lang w:eastAsia="en-US"/>
        </w:rPr>
        <w:t>s</w:t>
      </w:r>
      <w:r>
        <w:rPr>
          <w:rFonts w:eastAsiaTheme="minorHAnsi" w:cs="Arial"/>
          <w:szCs w:val="22"/>
          <w:lang w:eastAsia="en-US"/>
        </w:rPr>
        <w:t xml:space="preserve"> in early 2016). It is the responsibility of that contact to send onto to other parties within their organisation, where applicable. </w:t>
      </w:r>
      <w:r w:rsidR="00902439">
        <w:rPr>
          <w:rFonts w:eastAsiaTheme="minorHAnsi" w:cs="Arial"/>
          <w:szCs w:val="22"/>
          <w:lang w:eastAsia="en-US"/>
        </w:rPr>
        <w:t xml:space="preserve">TPDs are not responsible for sharing rotations with LEPs. </w:t>
      </w:r>
    </w:p>
    <w:p w14:paraId="471DC75D" w14:textId="77777777" w:rsidR="00314D27" w:rsidRDefault="00314D27" w:rsidP="002E3623">
      <w:pPr>
        <w:rPr>
          <w:rFonts w:eastAsiaTheme="minorHAnsi" w:cs="Arial"/>
          <w:szCs w:val="22"/>
          <w:lang w:eastAsia="en-US"/>
        </w:rPr>
      </w:pPr>
    </w:p>
    <w:p w14:paraId="5C7609C2" w14:textId="77777777" w:rsidR="00314D27" w:rsidRPr="00314D27" w:rsidRDefault="00314D27" w:rsidP="002E3623">
      <w:pPr>
        <w:rPr>
          <w:rFonts w:eastAsiaTheme="minorHAnsi" w:cs="Arial"/>
          <w:b/>
          <w:szCs w:val="22"/>
          <w:lang w:eastAsia="en-US"/>
        </w:rPr>
      </w:pPr>
      <w:r w:rsidRPr="00314D27">
        <w:rPr>
          <w:rFonts w:eastAsiaTheme="minorHAnsi" w:cs="Arial"/>
          <w:b/>
          <w:szCs w:val="22"/>
          <w:lang w:eastAsia="en-US"/>
        </w:rPr>
        <w:t>Can TPDs submit the rotation in a different format?</w:t>
      </w:r>
    </w:p>
    <w:p w14:paraId="3761428D" w14:textId="77777777" w:rsidR="00314D27" w:rsidRDefault="00314D27" w:rsidP="002E3623">
      <w:pPr>
        <w:rPr>
          <w:rFonts w:eastAsiaTheme="minorHAnsi" w:cs="Arial"/>
          <w:szCs w:val="22"/>
          <w:lang w:eastAsia="en-US"/>
        </w:rPr>
      </w:pPr>
      <w:r>
        <w:rPr>
          <w:rFonts w:eastAsiaTheme="minorHAnsi" w:cs="Arial"/>
          <w:szCs w:val="22"/>
          <w:lang w:eastAsia="en-US"/>
        </w:rPr>
        <w:t xml:space="preserve">No, only the agreed template should be used. If a different one is submitted, PST </w:t>
      </w:r>
      <w:r w:rsidR="007C6ABE">
        <w:rPr>
          <w:rFonts w:eastAsiaTheme="minorHAnsi" w:cs="Arial"/>
          <w:szCs w:val="22"/>
          <w:lang w:eastAsia="en-US"/>
        </w:rPr>
        <w:t xml:space="preserve">will </w:t>
      </w:r>
      <w:r>
        <w:rPr>
          <w:rFonts w:eastAsiaTheme="minorHAnsi" w:cs="Arial"/>
          <w:szCs w:val="22"/>
          <w:lang w:eastAsia="en-US"/>
        </w:rPr>
        <w:t>return straight away to the TPD.</w:t>
      </w:r>
    </w:p>
    <w:p w14:paraId="2942E45B" w14:textId="77777777" w:rsidR="00D12648" w:rsidRDefault="00D12648" w:rsidP="002E3623">
      <w:pPr>
        <w:rPr>
          <w:rFonts w:eastAsiaTheme="minorHAnsi" w:cs="Arial"/>
          <w:szCs w:val="22"/>
          <w:lang w:eastAsia="en-US"/>
        </w:rPr>
      </w:pPr>
    </w:p>
    <w:p w14:paraId="063F3554" w14:textId="77777777" w:rsidR="00D12648" w:rsidRPr="00BD1C5F" w:rsidRDefault="00D12648" w:rsidP="002E3623">
      <w:pPr>
        <w:rPr>
          <w:rFonts w:eastAsiaTheme="minorHAnsi" w:cs="Arial"/>
          <w:szCs w:val="22"/>
          <w:lang w:eastAsia="en-US"/>
        </w:rPr>
      </w:pPr>
    </w:p>
    <w:sectPr w:rsidR="00D12648" w:rsidRPr="00BD1C5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3F2E6" w14:textId="77777777" w:rsidR="00173CD1" w:rsidRDefault="00173CD1" w:rsidP="00065FDC">
      <w:r>
        <w:separator/>
      </w:r>
    </w:p>
  </w:endnote>
  <w:endnote w:type="continuationSeparator" w:id="0">
    <w:p w14:paraId="32616561" w14:textId="77777777" w:rsidR="00173CD1" w:rsidRDefault="00173CD1" w:rsidP="0006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A611D" w14:textId="77777777" w:rsidR="00065FDC" w:rsidRDefault="00065FDC">
    <w:pPr>
      <w:pStyle w:val="Footer"/>
    </w:pPr>
    <w:r>
      <w:rPr>
        <w:noProof/>
      </w:rPr>
      <w:drawing>
        <wp:anchor distT="0" distB="0" distL="114300" distR="114300" simplePos="0" relativeHeight="251657728" behindDoc="0" locked="0" layoutInCell="1" allowOverlap="1" wp14:anchorId="732E2125" wp14:editId="4BBA89A8">
          <wp:simplePos x="0" y="0"/>
          <wp:positionH relativeFrom="column">
            <wp:posOffset>-762000</wp:posOffset>
          </wp:positionH>
          <wp:positionV relativeFrom="paragraph">
            <wp:posOffset>-1083945</wp:posOffset>
          </wp:positionV>
          <wp:extent cx="7562215" cy="14020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ing_bottom_bar.png"/>
                  <pic:cNvPicPr/>
                </pic:nvPicPr>
                <pic:blipFill>
                  <a:blip r:embed="rId1">
                    <a:extLst>
                      <a:ext uri="{28A0092B-C50C-407E-A947-70E740481C1C}">
                        <a14:useLocalDpi xmlns:a14="http://schemas.microsoft.com/office/drawing/2010/main" val="0"/>
                      </a:ext>
                    </a:extLst>
                  </a:blip>
                  <a:stretch>
                    <a:fillRect/>
                  </a:stretch>
                </pic:blipFill>
                <pic:spPr>
                  <a:xfrm>
                    <a:off x="0" y="0"/>
                    <a:ext cx="7562215" cy="14020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A1E74" w14:textId="77777777" w:rsidR="00173CD1" w:rsidRDefault="00173CD1" w:rsidP="00065FDC">
      <w:r>
        <w:separator/>
      </w:r>
    </w:p>
  </w:footnote>
  <w:footnote w:type="continuationSeparator" w:id="0">
    <w:p w14:paraId="145112F5" w14:textId="77777777" w:rsidR="00173CD1" w:rsidRDefault="00173CD1" w:rsidP="00065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E73F" w14:textId="77777777" w:rsidR="00065FDC" w:rsidRDefault="00065FDC">
    <w:pPr>
      <w:pStyle w:val="Header"/>
    </w:pPr>
    <w:r>
      <w:rPr>
        <w:noProof/>
      </w:rPr>
      <w:drawing>
        <wp:anchor distT="0" distB="0" distL="114300" distR="114300" simplePos="0" relativeHeight="251656704" behindDoc="0" locked="0" layoutInCell="1" allowOverlap="0" wp14:anchorId="2504421E" wp14:editId="2F693BF6">
          <wp:simplePos x="0" y="0"/>
          <wp:positionH relativeFrom="page">
            <wp:posOffset>4512945</wp:posOffset>
          </wp:positionH>
          <wp:positionV relativeFrom="page">
            <wp:posOffset>466725</wp:posOffset>
          </wp:positionV>
          <wp:extent cx="2788920" cy="652145"/>
          <wp:effectExtent l="0" t="0" r="508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27C2"/>
    <w:multiLevelType w:val="hybridMultilevel"/>
    <w:tmpl w:val="0F2A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E391D"/>
    <w:multiLevelType w:val="hybridMultilevel"/>
    <w:tmpl w:val="B3204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C3B21"/>
    <w:multiLevelType w:val="hybridMultilevel"/>
    <w:tmpl w:val="2F36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76855"/>
    <w:multiLevelType w:val="hybridMultilevel"/>
    <w:tmpl w:val="B1FEF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07AEB"/>
    <w:multiLevelType w:val="hybridMultilevel"/>
    <w:tmpl w:val="B7D0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74221"/>
    <w:multiLevelType w:val="hybridMultilevel"/>
    <w:tmpl w:val="6BCC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52052"/>
    <w:multiLevelType w:val="hybridMultilevel"/>
    <w:tmpl w:val="782CBF28"/>
    <w:lvl w:ilvl="0" w:tplc="B4BAE1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CC6370"/>
    <w:multiLevelType w:val="hybridMultilevel"/>
    <w:tmpl w:val="02A24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671D8"/>
    <w:multiLevelType w:val="hybridMultilevel"/>
    <w:tmpl w:val="6B06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C7549"/>
    <w:multiLevelType w:val="hybridMultilevel"/>
    <w:tmpl w:val="95463A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E5F1E39"/>
    <w:multiLevelType w:val="hybridMultilevel"/>
    <w:tmpl w:val="7630A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B0F38"/>
    <w:multiLevelType w:val="hybridMultilevel"/>
    <w:tmpl w:val="01D8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66E8D"/>
    <w:multiLevelType w:val="hybridMultilevel"/>
    <w:tmpl w:val="E0E8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565D2"/>
    <w:multiLevelType w:val="hybridMultilevel"/>
    <w:tmpl w:val="E77E889C"/>
    <w:lvl w:ilvl="0" w:tplc="C4EE5B1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E870F9"/>
    <w:multiLevelType w:val="hybridMultilevel"/>
    <w:tmpl w:val="B25637EA"/>
    <w:lvl w:ilvl="0" w:tplc="7050070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580F17"/>
    <w:multiLevelType w:val="hybridMultilevel"/>
    <w:tmpl w:val="C820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34AD2"/>
    <w:multiLevelType w:val="hybridMultilevel"/>
    <w:tmpl w:val="3404D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28171D"/>
    <w:multiLevelType w:val="hybridMultilevel"/>
    <w:tmpl w:val="5532C53E"/>
    <w:lvl w:ilvl="0" w:tplc="BF1E7F2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F359E3"/>
    <w:multiLevelType w:val="hybridMultilevel"/>
    <w:tmpl w:val="20525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8622AF"/>
    <w:multiLevelType w:val="hybridMultilevel"/>
    <w:tmpl w:val="A9DA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30FFD"/>
    <w:multiLevelType w:val="hybridMultilevel"/>
    <w:tmpl w:val="3498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C6637F"/>
    <w:multiLevelType w:val="hybridMultilevel"/>
    <w:tmpl w:val="95D6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C06909"/>
    <w:multiLevelType w:val="hybridMultilevel"/>
    <w:tmpl w:val="8F7C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90F4C"/>
    <w:multiLevelType w:val="hybridMultilevel"/>
    <w:tmpl w:val="FC2A8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F71243"/>
    <w:multiLevelType w:val="hybridMultilevel"/>
    <w:tmpl w:val="6C36B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9051E1"/>
    <w:multiLevelType w:val="hybridMultilevel"/>
    <w:tmpl w:val="D740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CD52F7"/>
    <w:multiLevelType w:val="hybridMultilevel"/>
    <w:tmpl w:val="40046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7"/>
  </w:num>
  <w:num w:numId="4">
    <w:abstractNumId w:val="23"/>
  </w:num>
  <w:num w:numId="5">
    <w:abstractNumId w:val="19"/>
  </w:num>
  <w:num w:numId="6">
    <w:abstractNumId w:val="22"/>
  </w:num>
  <w:num w:numId="7">
    <w:abstractNumId w:val="10"/>
  </w:num>
  <w:num w:numId="8">
    <w:abstractNumId w:val="9"/>
  </w:num>
  <w:num w:numId="9">
    <w:abstractNumId w:val="26"/>
  </w:num>
  <w:num w:numId="10">
    <w:abstractNumId w:val="21"/>
  </w:num>
  <w:num w:numId="11">
    <w:abstractNumId w:val="12"/>
  </w:num>
  <w:num w:numId="12">
    <w:abstractNumId w:val="6"/>
  </w:num>
  <w:num w:numId="13">
    <w:abstractNumId w:val="5"/>
  </w:num>
  <w:num w:numId="14">
    <w:abstractNumId w:val="2"/>
  </w:num>
  <w:num w:numId="15">
    <w:abstractNumId w:val="11"/>
  </w:num>
  <w:num w:numId="16">
    <w:abstractNumId w:val="13"/>
  </w:num>
  <w:num w:numId="17">
    <w:abstractNumId w:val="17"/>
  </w:num>
  <w:num w:numId="18">
    <w:abstractNumId w:val="4"/>
  </w:num>
  <w:num w:numId="19">
    <w:abstractNumId w:val="20"/>
  </w:num>
  <w:num w:numId="20">
    <w:abstractNumId w:val="24"/>
  </w:num>
  <w:num w:numId="21">
    <w:abstractNumId w:val="3"/>
  </w:num>
  <w:num w:numId="22">
    <w:abstractNumId w:val="1"/>
  </w:num>
  <w:num w:numId="23">
    <w:abstractNumId w:val="16"/>
  </w:num>
  <w:num w:numId="24">
    <w:abstractNumId w:val="8"/>
  </w:num>
  <w:num w:numId="25">
    <w:abstractNumId w:val="25"/>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FDC"/>
    <w:rsid w:val="00006385"/>
    <w:rsid w:val="00065FDC"/>
    <w:rsid w:val="000A4F21"/>
    <w:rsid w:val="000F604B"/>
    <w:rsid w:val="00104C1A"/>
    <w:rsid w:val="00131E0B"/>
    <w:rsid w:val="00173CD1"/>
    <w:rsid w:val="001A58DC"/>
    <w:rsid w:val="001D3B9C"/>
    <w:rsid w:val="001F51B1"/>
    <w:rsid w:val="00206E6B"/>
    <w:rsid w:val="0021354D"/>
    <w:rsid w:val="00277ED2"/>
    <w:rsid w:val="002C3F98"/>
    <w:rsid w:val="002E3623"/>
    <w:rsid w:val="00314D27"/>
    <w:rsid w:val="003331A8"/>
    <w:rsid w:val="003B3EAB"/>
    <w:rsid w:val="003D61A1"/>
    <w:rsid w:val="00410048"/>
    <w:rsid w:val="0041362D"/>
    <w:rsid w:val="0042388F"/>
    <w:rsid w:val="00426843"/>
    <w:rsid w:val="004440B4"/>
    <w:rsid w:val="00450A09"/>
    <w:rsid w:val="0045579C"/>
    <w:rsid w:val="00504DCE"/>
    <w:rsid w:val="0051049E"/>
    <w:rsid w:val="00537E57"/>
    <w:rsid w:val="00540A6F"/>
    <w:rsid w:val="00546D6D"/>
    <w:rsid w:val="005F2D82"/>
    <w:rsid w:val="006125C1"/>
    <w:rsid w:val="006666F2"/>
    <w:rsid w:val="006677BA"/>
    <w:rsid w:val="007135E8"/>
    <w:rsid w:val="00736A94"/>
    <w:rsid w:val="00765356"/>
    <w:rsid w:val="007C6ABE"/>
    <w:rsid w:val="007F2D4B"/>
    <w:rsid w:val="0085430D"/>
    <w:rsid w:val="0088419D"/>
    <w:rsid w:val="008C123D"/>
    <w:rsid w:val="008D5FFC"/>
    <w:rsid w:val="00902439"/>
    <w:rsid w:val="00924700"/>
    <w:rsid w:val="00942716"/>
    <w:rsid w:val="00950D59"/>
    <w:rsid w:val="009E44F6"/>
    <w:rsid w:val="009F7075"/>
    <w:rsid w:val="00AA135A"/>
    <w:rsid w:val="00AB0FCF"/>
    <w:rsid w:val="00AC35D4"/>
    <w:rsid w:val="00AF0081"/>
    <w:rsid w:val="00B21218"/>
    <w:rsid w:val="00B53254"/>
    <w:rsid w:val="00B610E0"/>
    <w:rsid w:val="00BC3B10"/>
    <w:rsid w:val="00BD1C5F"/>
    <w:rsid w:val="00BF21EC"/>
    <w:rsid w:val="00C05A76"/>
    <w:rsid w:val="00C612E5"/>
    <w:rsid w:val="00C809BA"/>
    <w:rsid w:val="00CF35F8"/>
    <w:rsid w:val="00D04CFB"/>
    <w:rsid w:val="00D12648"/>
    <w:rsid w:val="00D167B0"/>
    <w:rsid w:val="00D471D1"/>
    <w:rsid w:val="00D66C74"/>
    <w:rsid w:val="00D71263"/>
    <w:rsid w:val="00D91C17"/>
    <w:rsid w:val="00E106C2"/>
    <w:rsid w:val="00E3172C"/>
    <w:rsid w:val="00E43FD6"/>
    <w:rsid w:val="00E765C6"/>
    <w:rsid w:val="00E80FE5"/>
    <w:rsid w:val="00E903AF"/>
    <w:rsid w:val="00E97C2F"/>
    <w:rsid w:val="00F21EC8"/>
    <w:rsid w:val="00F55A76"/>
    <w:rsid w:val="00F70E88"/>
    <w:rsid w:val="00F92BCA"/>
    <w:rsid w:val="00F94846"/>
    <w:rsid w:val="00FA275F"/>
    <w:rsid w:val="00FD20F9"/>
    <w:rsid w:val="00FF7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018CC0"/>
  <w15:docId w15:val="{9A308256-3E34-43F4-8A15-CC568243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5C6"/>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FDC"/>
    <w:pPr>
      <w:tabs>
        <w:tab w:val="center" w:pos="4513"/>
        <w:tab w:val="right" w:pos="9026"/>
      </w:tabs>
    </w:pPr>
  </w:style>
  <w:style w:type="character" w:customStyle="1" w:styleId="HeaderChar">
    <w:name w:val="Header Char"/>
    <w:basedOn w:val="DefaultParagraphFont"/>
    <w:link w:val="Header"/>
    <w:uiPriority w:val="99"/>
    <w:rsid w:val="00065FDC"/>
  </w:style>
  <w:style w:type="paragraph" w:styleId="Footer">
    <w:name w:val="footer"/>
    <w:basedOn w:val="Normal"/>
    <w:link w:val="FooterChar"/>
    <w:uiPriority w:val="99"/>
    <w:unhideWhenUsed/>
    <w:rsid w:val="00065FDC"/>
    <w:pPr>
      <w:tabs>
        <w:tab w:val="center" w:pos="4513"/>
        <w:tab w:val="right" w:pos="9026"/>
      </w:tabs>
    </w:pPr>
  </w:style>
  <w:style w:type="character" w:customStyle="1" w:styleId="FooterChar">
    <w:name w:val="Footer Char"/>
    <w:basedOn w:val="DefaultParagraphFont"/>
    <w:link w:val="Footer"/>
    <w:uiPriority w:val="99"/>
    <w:rsid w:val="00065FDC"/>
  </w:style>
  <w:style w:type="paragraph" w:styleId="ListParagraph">
    <w:name w:val="List Paragraph"/>
    <w:basedOn w:val="Normal"/>
    <w:uiPriority w:val="34"/>
    <w:qFormat/>
    <w:rsid w:val="00E765C6"/>
    <w:pPr>
      <w:ind w:left="720"/>
      <w:contextualSpacing/>
    </w:pPr>
  </w:style>
  <w:style w:type="paragraph" w:styleId="BalloonText">
    <w:name w:val="Balloon Text"/>
    <w:basedOn w:val="Normal"/>
    <w:link w:val="BalloonTextChar"/>
    <w:uiPriority w:val="99"/>
    <w:semiHidden/>
    <w:unhideWhenUsed/>
    <w:rsid w:val="00C809BA"/>
    <w:rPr>
      <w:rFonts w:ascii="Tahoma" w:hAnsi="Tahoma" w:cs="Tahoma"/>
      <w:sz w:val="16"/>
      <w:szCs w:val="16"/>
    </w:rPr>
  </w:style>
  <w:style w:type="character" w:customStyle="1" w:styleId="BalloonTextChar">
    <w:name w:val="Balloon Text Char"/>
    <w:basedOn w:val="DefaultParagraphFont"/>
    <w:link w:val="BalloonText"/>
    <w:uiPriority w:val="99"/>
    <w:semiHidden/>
    <w:rsid w:val="00C809B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924700"/>
    <w:rPr>
      <w:sz w:val="16"/>
      <w:szCs w:val="16"/>
    </w:rPr>
  </w:style>
  <w:style w:type="paragraph" w:styleId="CommentText">
    <w:name w:val="annotation text"/>
    <w:basedOn w:val="Normal"/>
    <w:link w:val="CommentTextChar"/>
    <w:uiPriority w:val="99"/>
    <w:semiHidden/>
    <w:unhideWhenUsed/>
    <w:rsid w:val="00924700"/>
    <w:rPr>
      <w:sz w:val="20"/>
      <w:szCs w:val="20"/>
    </w:rPr>
  </w:style>
  <w:style w:type="character" w:customStyle="1" w:styleId="CommentTextChar">
    <w:name w:val="Comment Text Char"/>
    <w:basedOn w:val="DefaultParagraphFont"/>
    <w:link w:val="CommentText"/>
    <w:uiPriority w:val="99"/>
    <w:semiHidden/>
    <w:rsid w:val="0092470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24700"/>
    <w:rPr>
      <w:b/>
      <w:bCs/>
    </w:rPr>
  </w:style>
  <w:style w:type="character" w:customStyle="1" w:styleId="CommentSubjectChar">
    <w:name w:val="Comment Subject Char"/>
    <w:basedOn w:val="CommentTextChar"/>
    <w:link w:val="CommentSubject"/>
    <w:uiPriority w:val="99"/>
    <w:semiHidden/>
    <w:rsid w:val="00924700"/>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997243">
      <w:bodyDiv w:val="1"/>
      <w:marLeft w:val="0"/>
      <w:marRight w:val="0"/>
      <w:marTop w:val="0"/>
      <w:marBottom w:val="0"/>
      <w:divBdr>
        <w:top w:val="none" w:sz="0" w:space="0" w:color="auto"/>
        <w:left w:val="none" w:sz="0" w:space="0" w:color="auto"/>
        <w:bottom w:val="none" w:sz="0" w:space="0" w:color="auto"/>
        <w:right w:val="none" w:sz="0" w:space="0" w:color="auto"/>
      </w:divBdr>
    </w:div>
    <w:div w:id="208830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Health Education England</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McCarthy</dc:creator>
  <cp:lastModifiedBy>Amanda Cartwright</cp:lastModifiedBy>
  <cp:revision>6</cp:revision>
  <dcterms:created xsi:type="dcterms:W3CDTF">2017-09-26T11:49:00Z</dcterms:created>
  <dcterms:modified xsi:type="dcterms:W3CDTF">2018-03-01T11:42:00Z</dcterms:modified>
</cp:coreProperties>
</file>